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C22F" w14:textId="7B2F9618" w:rsidR="00AA1FE5" w:rsidRPr="00AA1FE5" w:rsidRDefault="003542C3" w:rsidP="003021DD">
      <w:pPr>
        <w:pStyle w:val="Rubrik"/>
        <w:rPr>
          <w:lang w:eastAsia="sv-SE"/>
        </w:rPr>
      </w:pPr>
      <w:bookmarkStart w:id="0" w:name="_Toc500875281"/>
      <w:r>
        <w:rPr>
          <w:lang w:eastAsia="sv-SE"/>
        </w:rPr>
        <w:t>Vägledning</w:t>
      </w:r>
      <w:r w:rsidR="00A3386F">
        <w:rPr>
          <w:lang w:eastAsia="sv-SE"/>
        </w:rPr>
        <w:t xml:space="preserve">  - K</w:t>
      </w:r>
      <w:r w:rsidR="009E29DC">
        <w:rPr>
          <w:lang w:eastAsia="sv-SE"/>
        </w:rPr>
        <w:t>ravprecisering</w:t>
      </w:r>
      <w:r w:rsidR="004C1232">
        <w:rPr>
          <w:lang w:eastAsia="sv-SE"/>
        </w:rPr>
        <w:t xml:space="preserve"> och </w:t>
      </w:r>
      <w:r w:rsidR="00443AE9">
        <w:rPr>
          <w:lang w:eastAsia="sv-SE"/>
        </w:rPr>
        <w:t>kontroll av kravuppfyllnad</w:t>
      </w:r>
    </w:p>
    <w:p w14:paraId="4AF4C51A" w14:textId="4247E87E" w:rsidR="00AA1FE5" w:rsidRDefault="00AA1FE5" w:rsidP="00AA1FE5">
      <w:pPr>
        <w:rPr>
          <w:rFonts w:ascii="Calibri" w:eastAsia="Calibri" w:hAnsi="Calibri" w:cs="Calibri"/>
          <w:lang w:eastAsia="sv-SE"/>
        </w:rPr>
      </w:pPr>
      <w:bookmarkStart w:id="1" w:name="_GoBack"/>
      <w:bookmarkEnd w:id="1"/>
    </w:p>
    <w:sdt>
      <w:sdtPr>
        <w:rPr>
          <w:rFonts w:asciiTheme="minorHAnsi" w:eastAsiaTheme="minorHAnsi" w:hAnsiTheme="minorHAnsi" w:cstheme="minorBidi"/>
          <w:color w:val="auto"/>
          <w:sz w:val="22"/>
          <w:szCs w:val="22"/>
          <w:lang w:eastAsia="en-US"/>
        </w:rPr>
        <w:id w:val="-1429966289"/>
        <w:docPartObj>
          <w:docPartGallery w:val="Table of Contents"/>
          <w:docPartUnique/>
        </w:docPartObj>
      </w:sdtPr>
      <w:sdtEndPr>
        <w:rPr>
          <w:b/>
          <w:bCs/>
        </w:rPr>
      </w:sdtEndPr>
      <w:sdtContent>
        <w:p w14:paraId="030C4091" w14:textId="027ECBF0" w:rsidR="003021DD" w:rsidRDefault="003021DD">
          <w:pPr>
            <w:pStyle w:val="Innehllsfrteckningsrubrik"/>
          </w:pPr>
          <w:r>
            <w:t>Innehåll</w:t>
          </w:r>
        </w:p>
        <w:p w14:paraId="6F7D6C87" w14:textId="43809382" w:rsidR="00682BD3" w:rsidRDefault="003021DD">
          <w:pPr>
            <w:pStyle w:val="Innehll2"/>
            <w:rPr>
              <w:rFonts w:eastAsiaTheme="minorEastAsia"/>
              <w:noProof/>
              <w:lang w:eastAsia="sv-SE"/>
            </w:rPr>
          </w:pPr>
          <w:r>
            <w:fldChar w:fldCharType="begin"/>
          </w:r>
          <w:r>
            <w:instrText xml:space="preserve"> TOC \o "1-3" \h \z \u </w:instrText>
          </w:r>
          <w:r>
            <w:fldChar w:fldCharType="separate"/>
          </w:r>
          <w:hyperlink w:anchor="_Toc37931183" w:history="1">
            <w:r w:rsidR="00682BD3" w:rsidRPr="00FC5FE9">
              <w:rPr>
                <w:rStyle w:val="Hyperlnk"/>
                <w:noProof/>
              </w:rPr>
              <w:t>1.</w:t>
            </w:r>
            <w:r w:rsidR="00682BD3">
              <w:rPr>
                <w:rFonts w:eastAsiaTheme="minorEastAsia"/>
                <w:noProof/>
                <w:lang w:eastAsia="sv-SE"/>
              </w:rPr>
              <w:tab/>
            </w:r>
            <w:r w:rsidR="00682BD3" w:rsidRPr="00FC5FE9">
              <w:rPr>
                <w:rStyle w:val="Hyperlnk"/>
                <w:noProof/>
              </w:rPr>
              <w:t>Inledning</w:t>
            </w:r>
            <w:r w:rsidR="00682BD3">
              <w:rPr>
                <w:noProof/>
                <w:webHidden/>
              </w:rPr>
              <w:tab/>
            </w:r>
            <w:r w:rsidR="00682BD3">
              <w:rPr>
                <w:noProof/>
                <w:webHidden/>
              </w:rPr>
              <w:fldChar w:fldCharType="begin"/>
            </w:r>
            <w:r w:rsidR="00682BD3">
              <w:rPr>
                <w:noProof/>
                <w:webHidden/>
              </w:rPr>
              <w:instrText xml:space="preserve"> PAGEREF _Toc37931183 \h </w:instrText>
            </w:r>
            <w:r w:rsidR="00682BD3">
              <w:rPr>
                <w:noProof/>
                <w:webHidden/>
              </w:rPr>
            </w:r>
            <w:r w:rsidR="00682BD3">
              <w:rPr>
                <w:noProof/>
                <w:webHidden/>
              </w:rPr>
              <w:fldChar w:fldCharType="separate"/>
            </w:r>
            <w:r w:rsidR="00682BD3">
              <w:rPr>
                <w:noProof/>
                <w:webHidden/>
              </w:rPr>
              <w:t>1</w:t>
            </w:r>
            <w:r w:rsidR="00682BD3">
              <w:rPr>
                <w:noProof/>
                <w:webHidden/>
              </w:rPr>
              <w:fldChar w:fldCharType="end"/>
            </w:r>
          </w:hyperlink>
        </w:p>
        <w:p w14:paraId="39B972C0" w14:textId="0654BBCB" w:rsidR="00682BD3" w:rsidRDefault="00682BD3">
          <w:pPr>
            <w:pStyle w:val="Innehll2"/>
            <w:rPr>
              <w:rFonts w:eastAsiaTheme="minorEastAsia"/>
              <w:noProof/>
              <w:lang w:eastAsia="sv-SE"/>
            </w:rPr>
          </w:pPr>
          <w:hyperlink w:anchor="_Toc37931184" w:history="1">
            <w:r w:rsidRPr="00FC5FE9">
              <w:rPr>
                <w:rStyle w:val="Hyperlnk"/>
                <w:noProof/>
              </w:rPr>
              <w:t>2.</w:t>
            </w:r>
            <w:r>
              <w:rPr>
                <w:rFonts w:eastAsiaTheme="minorEastAsia"/>
                <w:noProof/>
                <w:lang w:eastAsia="sv-SE"/>
              </w:rPr>
              <w:tab/>
            </w:r>
            <w:r w:rsidRPr="00FC5FE9">
              <w:rPr>
                <w:rStyle w:val="Hyperlnk"/>
                <w:noProof/>
              </w:rPr>
              <w:t>Kravuppfyllnad</w:t>
            </w:r>
            <w:r>
              <w:rPr>
                <w:noProof/>
                <w:webHidden/>
              </w:rPr>
              <w:tab/>
            </w:r>
            <w:r>
              <w:rPr>
                <w:noProof/>
                <w:webHidden/>
              </w:rPr>
              <w:fldChar w:fldCharType="begin"/>
            </w:r>
            <w:r>
              <w:rPr>
                <w:noProof/>
                <w:webHidden/>
              </w:rPr>
              <w:instrText xml:space="preserve"> PAGEREF _Toc37931184 \h </w:instrText>
            </w:r>
            <w:r>
              <w:rPr>
                <w:noProof/>
                <w:webHidden/>
              </w:rPr>
            </w:r>
            <w:r>
              <w:rPr>
                <w:noProof/>
                <w:webHidden/>
              </w:rPr>
              <w:fldChar w:fldCharType="separate"/>
            </w:r>
            <w:r>
              <w:rPr>
                <w:noProof/>
                <w:webHidden/>
              </w:rPr>
              <w:t>1</w:t>
            </w:r>
            <w:r>
              <w:rPr>
                <w:noProof/>
                <w:webHidden/>
              </w:rPr>
              <w:fldChar w:fldCharType="end"/>
            </w:r>
          </w:hyperlink>
        </w:p>
        <w:p w14:paraId="1A740565" w14:textId="259A5598" w:rsidR="00682BD3" w:rsidRDefault="00682BD3">
          <w:pPr>
            <w:pStyle w:val="Innehll2"/>
            <w:rPr>
              <w:rFonts w:eastAsiaTheme="minorEastAsia"/>
              <w:noProof/>
              <w:lang w:eastAsia="sv-SE"/>
            </w:rPr>
          </w:pPr>
          <w:hyperlink w:anchor="_Toc37931185" w:history="1">
            <w:r w:rsidRPr="00FC5FE9">
              <w:rPr>
                <w:rStyle w:val="Hyperlnk"/>
                <w:noProof/>
              </w:rPr>
              <w:t>3.</w:t>
            </w:r>
            <w:r>
              <w:rPr>
                <w:rFonts w:eastAsiaTheme="minorEastAsia"/>
                <w:noProof/>
                <w:lang w:eastAsia="sv-SE"/>
              </w:rPr>
              <w:tab/>
            </w:r>
            <w:r w:rsidRPr="00FC5FE9">
              <w:rPr>
                <w:rStyle w:val="Hyperlnk"/>
                <w:noProof/>
              </w:rPr>
              <w:t>Precisering av krav</w:t>
            </w:r>
            <w:r>
              <w:rPr>
                <w:noProof/>
                <w:webHidden/>
              </w:rPr>
              <w:tab/>
            </w:r>
            <w:r>
              <w:rPr>
                <w:noProof/>
                <w:webHidden/>
              </w:rPr>
              <w:fldChar w:fldCharType="begin"/>
            </w:r>
            <w:r>
              <w:rPr>
                <w:noProof/>
                <w:webHidden/>
              </w:rPr>
              <w:instrText xml:space="preserve"> PAGEREF _Toc37931185 \h </w:instrText>
            </w:r>
            <w:r>
              <w:rPr>
                <w:noProof/>
                <w:webHidden/>
              </w:rPr>
            </w:r>
            <w:r>
              <w:rPr>
                <w:noProof/>
                <w:webHidden/>
              </w:rPr>
              <w:fldChar w:fldCharType="separate"/>
            </w:r>
            <w:r>
              <w:rPr>
                <w:noProof/>
                <w:webHidden/>
              </w:rPr>
              <w:t>2</w:t>
            </w:r>
            <w:r>
              <w:rPr>
                <w:noProof/>
                <w:webHidden/>
              </w:rPr>
              <w:fldChar w:fldCharType="end"/>
            </w:r>
          </w:hyperlink>
        </w:p>
        <w:p w14:paraId="6FFFBEC4" w14:textId="2A30ACD9" w:rsidR="00682BD3" w:rsidRDefault="00682BD3">
          <w:pPr>
            <w:pStyle w:val="Innehll2"/>
            <w:rPr>
              <w:rFonts w:eastAsiaTheme="minorEastAsia"/>
              <w:noProof/>
              <w:lang w:eastAsia="sv-SE"/>
            </w:rPr>
          </w:pPr>
          <w:hyperlink w:anchor="_Toc37931186" w:history="1">
            <w:r w:rsidRPr="00FC5FE9">
              <w:rPr>
                <w:rStyle w:val="Hyperlnk"/>
                <w:noProof/>
              </w:rPr>
              <w:t>3.1</w:t>
            </w:r>
            <w:r>
              <w:rPr>
                <w:rFonts w:eastAsiaTheme="minorEastAsia"/>
                <w:noProof/>
                <w:lang w:eastAsia="sv-SE"/>
              </w:rPr>
              <w:tab/>
            </w:r>
            <w:r w:rsidRPr="00FC5FE9">
              <w:rPr>
                <w:rStyle w:val="Hyperlnk"/>
                <w:noProof/>
              </w:rPr>
              <w:t>Exempel på preciseringar</w:t>
            </w:r>
            <w:r>
              <w:rPr>
                <w:noProof/>
                <w:webHidden/>
              </w:rPr>
              <w:tab/>
            </w:r>
            <w:r>
              <w:rPr>
                <w:noProof/>
                <w:webHidden/>
              </w:rPr>
              <w:fldChar w:fldCharType="begin"/>
            </w:r>
            <w:r>
              <w:rPr>
                <w:noProof/>
                <w:webHidden/>
              </w:rPr>
              <w:instrText xml:space="preserve"> PAGEREF _Toc37931186 \h </w:instrText>
            </w:r>
            <w:r>
              <w:rPr>
                <w:noProof/>
                <w:webHidden/>
              </w:rPr>
            </w:r>
            <w:r>
              <w:rPr>
                <w:noProof/>
                <w:webHidden/>
              </w:rPr>
              <w:fldChar w:fldCharType="separate"/>
            </w:r>
            <w:r>
              <w:rPr>
                <w:noProof/>
                <w:webHidden/>
              </w:rPr>
              <w:t>3</w:t>
            </w:r>
            <w:r>
              <w:rPr>
                <w:noProof/>
                <w:webHidden/>
              </w:rPr>
              <w:fldChar w:fldCharType="end"/>
            </w:r>
          </w:hyperlink>
        </w:p>
        <w:p w14:paraId="4146658E" w14:textId="1D86B3DF" w:rsidR="00682BD3" w:rsidRDefault="00682BD3">
          <w:pPr>
            <w:pStyle w:val="Innehll2"/>
            <w:rPr>
              <w:rFonts w:eastAsiaTheme="minorEastAsia"/>
              <w:noProof/>
              <w:lang w:eastAsia="sv-SE"/>
            </w:rPr>
          </w:pPr>
          <w:hyperlink w:anchor="_Toc37931187" w:history="1">
            <w:r w:rsidRPr="00FC5FE9">
              <w:rPr>
                <w:rStyle w:val="Hyperlnk"/>
                <w:noProof/>
              </w:rPr>
              <w:t>4.</w:t>
            </w:r>
            <w:r>
              <w:rPr>
                <w:rFonts w:eastAsiaTheme="minorEastAsia"/>
                <w:noProof/>
                <w:lang w:eastAsia="sv-SE"/>
              </w:rPr>
              <w:tab/>
            </w:r>
            <w:r w:rsidRPr="00FC5FE9">
              <w:rPr>
                <w:rStyle w:val="Hyperlnk"/>
                <w:noProof/>
              </w:rPr>
              <w:t>Acceptanstest</w:t>
            </w:r>
            <w:r>
              <w:rPr>
                <w:noProof/>
                <w:webHidden/>
              </w:rPr>
              <w:tab/>
            </w:r>
            <w:r>
              <w:rPr>
                <w:noProof/>
                <w:webHidden/>
              </w:rPr>
              <w:fldChar w:fldCharType="begin"/>
            </w:r>
            <w:r>
              <w:rPr>
                <w:noProof/>
                <w:webHidden/>
              </w:rPr>
              <w:instrText xml:space="preserve"> PAGEREF _Toc37931187 \h </w:instrText>
            </w:r>
            <w:r>
              <w:rPr>
                <w:noProof/>
                <w:webHidden/>
              </w:rPr>
            </w:r>
            <w:r>
              <w:rPr>
                <w:noProof/>
                <w:webHidden/>
              </w:rPr>
              <w:fldChar w:fldCharType="separate"/>
            </w:r>
            <w:r>
              <w:rPr>
                <w:noProof/>
                <w:webHidden/>
              </w:rPr>
              <w:t>4</w:t>
            </w:r>
            <w:r>
              <w:rPr>
                <w:noProof/>
                <w:webHidden/>
              </w:rPr>
              <w:fldChar w:fldCharType="end"/>
            </w:r>
          </w:hyperlink>
        </w:p>
        <w:p w14:paraId="6CC9BD65" w14:textId="09F74E24" w:rsidR="003021DD" w:rsidRPr="003021DD" w:rsidRDefault="003021DD" w:rsidP="00AA1FE5">
          <w:r>
            <w:rPr>
              <w:b/>
              <w:bCs/>
            </w:rPr>
            <w:fldChar w:fldCharType="end"/>
          </w:r>
        </w:p>
      </w:sdtContent>
    </w:sdt>
    <w:p w14:paraId="7F725B36" w14:textId="15665A35" w:rsidR="00BF2010" w:rsidRDefault="00BF2010" w:rsidP="003021DD">
      <w:pPr>
        <w:pStyle w:val="Rubrik2"/>
        <w:numPr>
          <w:ilvl w:val="0"/>
          <w:numId w:val="10"/>
        </w:numPr>
        <w:spacing w:before="120"/>
        <w:ind w:left="425" w:hanging="357"/>
      </w:pPr>
      <w:bookmarkStart w:id="2" w:name="_Toc37931183"/>
      <w:r>
        <w:t>Inledning</w:t>
      </w:r>
      <w:bookmarkEnd w:id="2"/>
    </w:p>
    <w:p w14:paraId="129F645F" w14:textId="14CDAB97" w:rsidR="00BF2010" w:rsidRPr="00BF2010" w:rsidRDefault="00BF2010" w:rsidP="00BF2010">
      <w:r>
        <w:t>Det här dokumentet syftar till att hjälpa UM att förstå hur man kan tänka kring kravpreciseringar, kontroll av kravuppfyllnad och acceptanstest.</w:t>
      </w:r>
    </w:p>
    <w:p w14:paraId="29541DF8" w14:textId="19662A52" w:rsidR="003021DD" w:rsidRPr="003021DD" w:rsidRDefault="00BF2010" w:rsidP="003021DD">
      <w:pPr>
        <w:pStyle w:val="Rubrik2"/>
        <w:numPr>
          <w:ilvl w:val="0"/>
          <w:numId w:val="10"/>
        </w:numPr>
        <w:spacing w:before="120"/>
        <w:ind w:left="425" w:hanging="357"/>
      </w:pPr>
      <w:bookmarkStart w:id="3" w:name="_Toc37931184"/>
      <w:r>
        <w:t>Kravuppfyllnad</w:t>
      </w:r>
      <w:bookmarkEnd w:id="3"/>
    </w:p>
    <w:p w14:paraId="26D0AF22" w14:textId="58FBDBF3" w:rsidR="004C1232" w:rsidRDefault="004C1232" w:rsidP="004C1232">
      <w:pPr>
        <w:rPr>
          <w:rFonts w:ascii="Calibri" w:eastAsia="Calibri" w:hAnsi="Calibri" w:cs="Calibri"/>
          <w:lang w:eastAsia="sv-SE"/>
        </w:rPr>
      </w:pPr>
      <w:bookmarkStart w:id="4" w:name="_heading=h.vygwai7abckv" w:colFirst="0" w:colLast="0"/>
      <w:bookmarkEnd w:id="4"/>
      <w:r w:rsidRPr="00AA1FE5">
        <w:rPr>
          <w:rFonts w:ascii="Calibri" w:eastAsia="Calibri" w:hAnsi="Calibri" w:cs="Calibri"/>
          <w:lang w:eastAsia="sv-SE"/>
        </w:rPr>
        <w:t>Ramavtalets kravspeci</w:t>
      </w:r>
      <w:r>
        <w:rPr>
          <w:rFonts w:ascii="Calibri" w:eastAsia="Calibri" w:hAnsi="Calibri" w:cs="Calibri"/>
          <w:lang w:eastAsia="sv-SE"/>
        </w:rPr>
        <w:t>fikation innehåller endast ska</w:t>
      </w:r>
      <w:r w:rsidR="00657343">
        <w:rPr>
          <w:rFonts w:ascii="Calibri" w:eastAsia="Calibri" w:hAnsi="Calibri" w:cs="Calibri"/>
          <w:lang w:eastAsia="sv-SE"/>
        </w:rPr>
        <w:t>-</w:t>
      </w:r>
      <w:r w:rsidRPr="00AA1FE5">
        <w:rPr>
          <w:rFonts w:ascii="Calibri" w:eastAsia="Calibri" w:hAnsi="Calibri" w:cs="Calibri"/>
          <w:lang w:eastAsia="sv-SE"/>
        </w:rPr>
        <w:t xml:space="preserve">krav vilket innebär att respektive </w:t>
      </w:r>
      <w:r>
        <w:rPr>
          <w:rFonts w:ascii="Calibri" w:eastAsia="Calibri" w:hAnsi="Calibri" w:cs="Calibri"/>
          <w:lang w:eastAsia="sv-SE"/>
        </w:rPr>
        <w:t>ramavtals</w:t>
      </w:r>
      <w:r w:rsidRPr="00AA1FE5">
        <w:rPr>
          <w:rFonts w:ascii="Calibri" w:eastAsia="Calibri" w:hAnsi="Calibri" w:cs="Calibri"/>
          <w:lang w:eastAsia="sv-SE"/>
        </w:rPr>
        <w:t>leverantör bekräftat att Tjänsten kommer att uppfylla samtliga krav. Det är dock av vikt att poängtera att kraven inte har verifierats i en skarp installerad Tjänst utan det är enbart leverantörens redogörelser som bedömts under upphandlingsförfarandet</w:t>
      </w:r>
      <w:r>
        <w:rPr>
          <w:rFonts w:ascii="Calibri" w:eastAsia="Calibri" w:hAnsi="Calibri" w:cs="Calibri"/>
          <w:lang w:eastAsia="sv-SE"/>
        </w:rPr>
        <w:t xml:space="preserve"> och kraven är ställda så att de ska kunna verifieras vid lämnande av anbud eller vid tid för leverans, beroende på vad som efterfrågas i respektive avrop</w:t>
      </w:r>
      <w:r w:rsidRPr="00AA1FE5">
        <w:rPr>
          <w:rFonts w:ascii="Calibri" w:eastAsia="Calibri" w:hAnsi="Calibri" w:cs="Calibri"/>
          <w:lang w:eastAsia="sv-SE"/>
        </w:rPr>
        <w:t xml:space="preserve">. </w:t>
      </w:r>
    </w:p>
    <w:p w14:paraId="5FE037F2" w14:textId="77777777" w:rsidR="00682BD3" w:rsidRPr="00443AE9" w:rsidRDefault="00682BD3" w:rsidP="00682BD3">
      <w:pPr>
        <w:rPr>
          <w:rFonts w:ascii="Calibri" w:eastAsia="Calibri" w:hAnsi="Calibri" w:cs="Calibri"/>
          <w:lang w:eastAsia="sv-SE"/>
        </w:rPr>
      </w:pPr>
      <w:r w:rsidRPr="00AA1FE5">
        <w:rPr>
          <w:rFonts w:ascii="Calibri" w:eastAsia="Calibri" w:hAnsi="Calibri" w:cs="Calibri"/>
          <w:lang w:eastAsia="sv-SE"/>
        </w:rPr>
        <w:t>D</w:t>
      </w:r>
      <w:r>
        <w:rPr>
          <w:rFonts w:ascii="Calibri" w:eastAsia="Calibri" w:hAnsi="Calibri" w:cs="Calibri"/>
          <w:lang w:eastAsia="sv-SE"/>
        </w:rPr>
        <w:t>et är d</w:t>
      </w:r>
      <w:r w:rsidRPr="00AA1FE5">
        <w:rPr>
          <w:rFonts w:ascii="Calibri" w:eastAsia="Calibri" w:hAnsi="Calibri" w:cs="Calibri"/>
          <w:lang w:eastAsia="sv-SE"/>
        </w:rPr>
        <w:t xml:space="preserve">ärför av stor vikt att respektive beställare säkerställer att Tjänsten uppfyller </w:t>
      </w:r>
      <w:r>
        <w:rPr>
          <w:rFonts w:ascii="Calibri" w:eastAsia="Calibri" w:hAnsi="Calibri" w:cs="Calibri"/>
          <w:lang w:eastAsia="sv-SE"/>
        </w:rPr>
        <w:t xml:space="preserve">er verksamhets </w:t>
      </w:r>
      <w:r w:rsidRPr="00AA1FE5">
        <w:rPr>
          <w:rFonts w:ascii="Calibri" w:eastAsia="Calibri" w:hAnsi="Calibri" w:cs="Calibri"/>
          <w:lang w:eastAsia="sv-SE"/>
        </w:rPr>
        <w:t xml:space="preserve">egna behov. Detta görs dels genom att </w:t>
      </w:r>
      <w:r>
        <w:rPr>
          <w:rFonts w:ascii="Calibri" w:eastAsia="Calibri" w:hAnsi="Calibri" w:cs="Calibri"/>
          <w:lang w:eastAsia="sv-SE"/>
        </w:rPr>
        <w:t xml:space="preserve">inför avropet </w:t>
      </w:r>
      <w:r w:rsidRPr="00AA1FE5">
        <w:rPr>
          <w:rFonts w:ascii="Calibri" w:eastAsia="Calibri" w:hAnsi="Calibri" w:cs="Calibri"/>
          <w:lang w:eastAsia="sv-SE"/>
        </w:rPr>
        <w:t xml:space="preserve">precisera krav </w:t>
      </w:r>
      <w:r>
        <w:rPr>
          <w:rFonts w:ascii="Calibri" w:eastAsia="Calibri" w:hAnsi="Calibri" w:cs="Calibri"/>
          <w:lang w:eastAsia="sv-SE"/>
        </w:rPr>
        <w:t xml:space="preserve">ytterligare för att täcka behoven från </w:t>
      </w:r>
      <w:r w:rsidRPr="00AA1FE5">
        <w:rPr>
          <w:rFonts w:ascii="Calibri" w:eastAsia="Calibri" w:hAnsi="Calibri" w:cs="Calibri"/>
          <w:lang w:eastAsia="sv-SE"/>
        </w:rPr>
        <w:t>den egna verksamheten</w:t>
      </w:r>
      <w:r>
        <w:rPr>
          <w:rFonts w:ascii="Calibri" w:eastAsia="Calibri" w:hAnsi="Calibri" w:cs="Calibri"/>
          <w:lang w:eastAsia="sv-SE"/>
        </w:rPr>
        <w:t xml:space="preserve"> och dels genom i avropet verifiera att offererade lösningar lever </w:t>
      </w:r>
      <w:r w:rsidRPr="008E1876">
        <w:rPr>
          <w:rFonts w:ascii="Calibri" w:eastAsia="Calibri" w:hAnsi="Calibri" w:cs="Calibri"/>
          <w:lang w:eastAsia="sv-SE"/>
        </w:rPr>
        <w:t>eller kommer att leva upp</w:t>
      </w:r>
      <w:r>
        <w:rPr>
          <w:rFonts w:ascii="Calibri" w:eastAsia="Calibri" w:hAnsi="Calibri" w:cs="Calibri"/>
          <w:lang w:eastAsia="sv-SE"/>
        </w:rPr>
        <w:t xml:space="preserve"> till ställda krav. Detta kan göras vid olika tillfällen: </w:t>
      </w:r>
    </w:p>
    <w:p w14:paraId="37CF3860" w14:textId="77777777" w:rsidR="00682BD3" w:rsidRDefault="00682BD3" w:rsidP="00682BD3">
      <w:pPr>
        <w:pStyle w:val="Liststycke"/>
        <w:numPr>
          <w:ilvl w:val="0"/>
          <w:numId w:val="13"/>
        </w:numPr>
        <w:spacing w:after="0" w:line="240" w:lineRule="auto"/>
      </w:pPr>
      <w:r>
        <w:t>Utvärdering av avropssvar</w:t>
      </w:r>
    </w:p>
    <w:p w14:paraId="23B27F36" w14:textId="77777777" w:rsidR="00682BD3" w:rsidRDefault="00682BD3" w:rsidP="00682BD3">
      <w:pPr>
        <w:pStyle w:val="Liststycke"/>
        <w:numPr>
          <w:ilvl w:val="1"/>
          <w:numId w:val="13"/>
        </w:numPr>
        <w:spacing w:after="0" w:line="240" w:lineRule="auto"/>
      </w:pPr>
      <w:r>
        <w:t>Utvärdera svar och redogörelser</w:t>
      </w:r>
    </w:p>
    <w:p w14:paraId="11C70746" w14:textId="77777777" w:rsidR="00682BD3" w:rsidRDefault="00682BD3" w:rsidP="00682BD3">
      <w:pPr>
        <w:pStyle w:val="Liststycke"/>
        <w:numPr>
          <w:ilvl w:val="0"/>
          <w:numId w:val="13"/>
        </w:numPr>
        <w:spacing w:after="0" w:line="240" w:lineRule="auto"/>
      </w:pPr>
      <w:r>
        <w:t>Anbudspresentation</w:t>
      </w:r>
    </w:p>
    <w:p w14:paraId="1B6EB4F1" w14:textId="77777777" w:rsidR="00682BD3" w:rsidRDefault="00682BD3" w:rsidP="00682BD3">
      <w:pPr>
        <w:pStyle w:val="Liststycke"/>
        <w:numPr>
          <w:ilvl w:val="1"/>
          <w:numId w:val="13"/>
        </w:numPr>
        <w:spacing w:after="0" w:line="240" w:lineRule="auto"/>
      </w:pPr>
      <w:r>
        <w:t>Utvärdera demonstrationer</w:t>
      </w:r>
    </w:p>
    <w:p w14:paraId="012030FC" w14:textId="77777777" w:rsidR="00682BD3" w:rsidRDefault="00682BD3" w:rsidP="00682BD3">
      <w:pPr>
        <w:pStyle w:val="Liststycke"/>
        <w:numPr>
          <w:ilvl w:val="0"/>
          <w:numId w:val="13"/>
        </w:numPr>
        <w:spacing w:after="0" w:line="240" w:lineRule="auto"/>
      </w:pPr>
      <w:r>
        <w:t>Leverans</w:t>
      </w:r>
    </w:p>
    <w:p w14:paraId="4B03E633" w14:textId="77777777" w:rsidR="00682BD3" w:rsidRDefault="00682BD3" w:rsidP="00682BD3">
      <w:pPr>
        <w:pStyle w:val="Liststycke"/>
        <w:numPr>
          <w:ilvl w:val="1"/>
          <w:numId w:val="13"/>
        </w:numPr>
        <w:spacing w:after="0" w:line="240" w:lineRule="auto"/>
      </w:pPr>
      <w:r>
        <w:t>Genomför acceptanstest</w:t>
      </w:r>
    </w:p>
    <w:p w14:paraId="6FA30446" w14:textId="77777777" w:rsidR="00682BD3" w:rsidRDefault="00682BD3" w:rsidP="00682BD3">
      <w:pPr>
        <w:pStyle w:val="Liststycke"/>
        <w:numPr>
          <w:ilvl w:val="1"/>
          <w:numId w:val="13"/>
        </w:numPr>
        <w:spacing w:after="0" w:line="240" w:lineRule="auto"/>
      </w:pPr>
      <w:r>
        <w:t>Beslut om leveransgodkännande för driftsättning</w:t>
      </w:r>
    </w:p>
    <w:p w14:paraId="5BE7DD40" w14:textId="77777777" w:rsidR="00682BD3" w:rsidRDefault="00682BD3" w:rsidP="00682BD3">
      <w:pPr>
        <w:pStyle w:val="Liststycke"/>
        <w:numPr>
          <w:ilvl w:val="0"/>
          <w:numId w:val="13"/>
        </w:numPr>
        <w:spacing w:after="0" w:line="240" w:lineRule="auto"/>
      </w:pPr>
      <w:r>
        <w:t>Tjänst i drift</w:t>
      </w:r>
    </w:p>
    <w:p w14:paraId="691FC8C6" w14:textId="77777777" w:rsidR="00682BD3" w:rsidRDefault="00682BD3" w:rsidP="00682BD3">
      <w:pPr>
        <w:pStyle w:val="Liststycke"/>
        <w:numPr>
          <w:ilvl w:val="1"/>
          <w:numId w:val="13"/>
        </w:numPr>
        <w:spacing w:after="0" w:line="240" w:lineRule="auto"/>
      </w:pPr>
      <w:r>
        <w:t>Genomför eventuella acceptanstest för ytterligare steg av leveransen, dvs. krav/funktioner som enligt kontrakt levereras efter driftsättning</w:t>
      </w:r>
    </w:p>
    <w:p w14:paraId="03663CAF" w14:textId="77777777" w:rsidR="00682BD3" w:rsidRPr="00F222C4" w:rsidRDefault="00682BD3" w:rsidP="00682BD3">
      <w:pPr>
        <w:pStyle w:val="Liststycke"/>
        <w:numPr>
          <w:ilvl w:val="1"/>
          <w:numId w:val="13"/>
        </w:numPr>
        <w:spacing w:after="0" w:line="240" w:lineRule="auto"/>
      </w:pPr>
      <w:r>
        <w:t>Beslut om leveransgodkännande för respektive steg</w:t>
      </w:r>
    </w:p>
    <w:p w14:paraId="0432B682" w14:textId="77777777" w:rsidR="00682BD3" w:rsidRDefault="00682BD3" w:rsidP="00682BD3">
      <w:pPr>
        <w:rPr>
          <w:rFonts w:ascii="Calibri" w:eastAsia="Calibri" w:hAnsi="Calibri" w:cs="Calibri"/>
          <w:lang w:eastAsia="sv-SE"/>
        </w:rPr>
      </w:pPr>
      <w:r w:rsidRPr="00443AE9">
        <w:rPr>
          <w:rFonts w:ascii="Calibri" w:eastAsia="Calibri" w:hAnsi="Calibri" w:cs="Calibri"/>
          <w:lang w:eastAsia="sv-SE"/>
        </w:rPr>
        <w:br/>
      </w:r>
      <w:r>
        <w:rPr>
          <w:rFonts w:ascii="Calibri" w:eastAsia="Calibri" w:hAnsi="Calibri" w:cs="Calibri"/>
          <w:lang w:eastAsia="sv-SE"/>
        </w:rPr>
        <w:t xml:space="preserve">Tänk på att just era preciseringar kanske kräver specifika utvecklingsinsatser för leverantörerna och att det därför inte alltid är gynsamt att ställa krav på att leverantörerna ska vara färdiga med detta </w:t>
      </w:r>
      <w:r>
        <w:rPr>
          <w:rFonts w:ascii="Calibri" w:eastAsia="Calibri" w:hAnsi="Calibri" w:cs="Calibri"/>
          <w:lang w:eastAsia="sv-SE"/>
        </w:rPr>
        <w:lastRenderedPageBreak/>
        <w:t>vid anbudstillfället</w:t>
      </w:r>
      <w:r w:rsidRPr="008E1876">
        <w:rPr>
          <w:rFonts w:ascii="Calibri" w:eastAsia="Calibri" w:hAnsi="Calibri" w:cs="Calibri"/>
          <w:lang w:eastAsia="sv-SE"/>
        </w:rPr>
        <w:t>. Ett alternativ är att be leverantörerna att i sitt anbud</w:t>
      </w:r>
      <w:r>
        <w:rPr>
          <w:rFonts w:ascii="Calibri" w:eastAsia="Calibri" w:hAnsi="Calibri" w:cs="Calibri"/>
          <w:lang w:eastAsia="sv-SE"/>
        </w:rPr>
        <w:t xml:space="preserve"> och/eller vid anbudspresentation</w:t>
      </w:r>
      <w:r w:rsidRPr="008E1876">
        <w:rPr>
          <w:rFonts w:ascii="Calibri" w:eastAsia="Calibri" w:hAnsi="Calibri" w:cs="Calibri"/>
          <w:lang w:eastAsia="sv-SE"/>
        </w:rPr>
        <w:t xml:space="preserve"> beskriva hur de kommer att säkerställa kravupp</w:t>
      </w:r>
      <w:r>
        <w:rPr>
          <w:rFonts w:ascii="Calibri" w:eastAsia="Calibri" w:hAnsi="Calibri" w:cs="Calibri"/>
          <w:lang w:eastAsia="sv-SE"/>
        </w:rPr>
        <w:t xml:space="preserve">fyllnad efter </w:t>
      </w:r>
      <w:r w:rsidRPr="008E1876">
        <w:rPr>
          <w:rFonts w:ascii="Calibri" w:eastAsia="Calibri" w:hAnsi="Calibri" w:cs="Calibri"/>
          <w:lang w:eastAsia="sv-SE"/>
        </w:rPr>
        <w:t>kontraktstecknande, t ex via mockups eller idéskisser.</w:t>
      </w:r>
    </w:p>
    <w:p w14:paraId="28903DCB" w14:textId="77777777" w:rsidR="00682BD3" w:rsidRDefault="00682BD3" w:rsidP="00682BD3">
      <w:pPr>
        <w:rPr>
          <w:rFonts w:ascii="Calibri" w:eastAsia="Calibri" w:hAnsi="Calibri" w:cs="Calibri"/>
          <w:lang w:eastAsia="sv-SE"/>
        </w:rPr>
      </w:pPr>
      <w:r>
        <w:rPr>
          <w:rFonts w:ascii="Calibri" w:eastAsia="Calibri" w:hAnsi="Calibri" w:cs="Calibri"/>
          <w:lang w:eastAsia="sv-SE"/>
        </w:rPr>
        <w:t>Längre ned i dokumentet hittar ni exempel och tips på hur man kan tänka kring acceptanstester.</w:t>
      </w:r>
    </w:p>
    <w:p w14:paraId="3213AE34" w14:textId="77777777" w:rsidR="004C1232" w:rsidRPr="004C1232" w:rsidRDefault="004C1232" w:rsidP="004C1232">
      <w:pPr>
        <w:pStyle w:val="Rubrik2"/>
        <w:numPr>
          <w:ilvl w:val="0"/>
          <w:numId w:val="10"/>
        </w:numPr>
        <w:spacing w:before="120"/>
        <w:ind w:left="425" w:hanging="357"/>
      </w:pPr>
      <w:bookmarkStart w:id="5" w:name="_Toc37931185"/>
      <w:r w:rsidRPr="004C1232">
        <w:t>Precisering av krav</w:t>
      </w:r>
      <w:bookmarkEnd w:id="5"/>
    </w:p>
    <w:p w14:paraId="0E293F87" w14:textId="0D01FD6E" w:rsidR="00455860" w:rsidRPr="00455860" w:rsidRDefault="00455860" w:rsidP="00455860">
      <w:pPr>
        <w:keepNext/>
        <w:rPr>
          <w:i/>
          <w:iCs/>
          <w:lang w:eastAsia="sv-SE"/>
        </w:rPr>
      </w:pPr>
      <w:r>
        <w:rPr>
          <w:i/>
          <w:iCs/>
          <w:lang w:eastAsia="sv-SE"/>
        </w:rPr>
        <w:t>”</w:t>
      </w:r>
      <w:r w:rsidRPr="00455860">
        <w:rPr>
          <w:i/>
          <w:iCs/>
          <w:lang w:eastAsia="sv-SE"/>
        </w:rPr>
        <w:t>Fastställda villkor i ramavtalet kan inte omförhandlas i den förnyade</w:t>
      </w:r>
      <w:r>
        <w:rPr>
          <w:i/>
          <w:iCs/>
          <w:lang w:eastAsia="sv-SE"/>
        </w:rPr>
        <w:t xml:space="preserve"> konkurrensutsättningen och inte </w:t>
      </w:r>
      <w:r w:rsidRPr="00455860">
        <w:rPr>
          <w:i/>
          <w:iCs/>
          <w:lang w:eastAsia="sv-SE"/>
        </w:rPr>
        <w:t>heller kan krav som ställts i ramavtalet ändras eller bytas ut. Om det är nödvändigt får dock villkoren</w:t>
      </w:r>
      <w:r>
        <w:rPr>
          <w:i/>
          <w:iCs/>
          <w:lang w:eastAsia="sv-SE"/>
        </w:rPr>
        <w:t xml:space="preserve"> </w:t>
      </w:r>
      <w:r w:rsidRPr="00455860">
        <w:rPr>
          <w:i/>
          <w:iCs/>
          <w:lang w:eastAsia="sv-SE"/>
        </w:rPr>
        <w:t>preciseras och vid behov kompletteras. Det är då fråga om att komplettera eller förfina villkoren i</w:t>
      </w:r>
      <w:r>
        <w:rPr>
          <w:i/>
          <w:iCs/>
          <w:lang w:eastAsia="sv-SE"/>
        </w:rPr>
        <w:t xml:space="preserve"> </w:t>
      </w:r>
      <w:r w:rsidRPr="00455860">
        <w:rPr>
          <w:i/>
          <w:iCs/>
          <w:lang w:eastAsia="sv-SE"/>
        </w:rPr>
        <w:t>ramavtalet för att fånga upp särskilda omständigheter som behöver uppfyllas för att kunna fullgöra ett enskilt kontrakt.</w:t>
      </w:r>
      <w:r>
        <w:rPr>
          <w:i/>
          <w:iCs/>
          <w:lang w:eastAsia="sv-SE"/>
        </w:rPr>
        <w:t>”</w:t>
      </w:r>
      <w:r>
        <w:rPr>
          <w:lang w:eastAsia="sv-SE"/>
        </w:rPr>
        <w:t xml:space="preserve"> </w:t>
      </w:r>
    </w:p>
    <w:p w14:paraId="49111F45" w14:textId="4584AE8D" w:rsidR="00455860" w:rsidRDefault="00455860" w:rsidP="00455860">
      <w:pPr>
        <w:keepNext/>
      </w:pPr>
      <w:r>
        <w:t>Detta innebär i praktiken att man kan/bör precisera och konkretisera de krav som är uppställda i ramavtalet för att fånga sin organisations specifika krav och behov på lösningen. En precisering kan också innebära att man preciserar vad man INTE är i behov av.  </w:t>
      </w:r>
    </w:p>
    <w:p w14:paraId="30E98361" w14:textId="77777777" w:rsidR="00455860" w:rsidRDefault="00455860" w:rsidP="00455860">
      <w:pPr>
        <w:keepNext/>
      </w:pPr>
      <w:r>
        <w:t xml:space="preserve">Preciseringar kan göras varje krav för sig (t ex genom användandet av Mall - Kravfångst). Det kan också göras genom att man preciserar specifika behov av funktioner och förmågor som spänner över flera krav samtidigt, genom exempelvis användarfall/case. </w:t>
      </w:r>
    </w:p>
    <w:p w14:paraId="0961F237" w14:textId="77777777" w:rsidR="00455860" w:rsidRPr="00455860" w:rsidRDefault="00455860" w:rsidP="00455860">
      <w:pPr>
        <w:keepNext/>
        <w:rPr>
          <w:color w:val="1F497D"/>
        </w:rPr>
      </w:pPr>
      <w:r>
        <w:t>Det är viktigt att ha i åtanke att samtliga preciseringar ska grunda sig på innehållet i ramavtalet.</w:t>
      </w:r>
    </w:p>
    <w:p w14:paraId="4CC7E0B4" w14:textId="585DDF6A" w:rsidR="00455860" w:rsidRPr="00455860" w:rsidRDefault="00455860" w:rsidP="00455860">
      <w:pPr>
        <w:keepNext/>
        <w:keepLines/>
      </w:pPr>
      <w:r>
        <w:t xml:space="preserve">Olika kommuner och regioner krav på tjänsten kommer att skilja sig åt. </w:t>
      </w:r>
      <w:r>
        <w:rPr>
          <w:rFonts w:ascii="Calibri" w:eastAsia="Calibri" w:hAnsi="Calibri" w:cs="Calibri"/>
          <w:lang w:eastAsia="sv-SE"/>
        </w:rPr>
        <w:t xml:space="preserve">Nivån av kravprecisering </w:t>
      </w:r>
      <w:r w:rsidRPr="00AA1FE5">
        <w:rPr>
          <w:rFonts w:ascii="Calibri" w:eastAsia="Calibri" w:hAnsi="Calibri" w:cs="Calibri"/>
          <w:lang w:eastAsia="sv-SE"/>
        </w:rPr>
        <w:t>bero</w:t>
      </w:r>
      <w:r>
        <w:rPr>
          <w:rFonts w:ascii="Calibri" w:eastAsia="Calibri" w:hAnsi="Calibri" w:cs="Calibri"/>
          <w:lang w:eastAsia="sv-SE"/>
        </w:rPr>
        <w:t xml:space="preserve">r </w:t>
      </w:r>
      <w:r w:rsidRPr="00AA1FE5">
        <w:rPr>
          <w:rFonts w:ascii="Calibri" w:eastAsia="Calibri" w:hAnsi="Calibri" w:cs="Calibri"/>
          <w:lang w:eastAsia="sv-SE"/>
        </w:rPr>
        <w:t xml:space="preserve">på </w:t>
      </w:r>
      <w:r>
        <w:rPr>
          <w:rFonts w:ascii="Calibri" w:eastAsia="Calibri" w:hAnsi="Calibri" w:cs="Calibri"/>
          <w:lang w:eastAsia="sv-SE"/>
        </w:rPr>
        <w:t xml:space="preserve">behovet hos </w:t>
      </w:r>
      <w:r w:rsidRPr="00AA1FE5">
        <w:rPr>
          <w:rFonts w:ascii="Calibri" w:eastAsia="Calibri" w:hAnsi="Calibri" w:cs="Calibri"/>
          <w:lang w:eastAsia="sv-SE"/>
        </w:rPr>
        <w:t>beställare</w:t>
      </w:r>
      <w:r>
        <w:rPr>
          <w:rFonts w:ascii="Calibri" w:eastAsia="Calibri" w:hAnsi="Calibri" w:cs="Calibri"/>
          <w:lang w:eastAsia="sv-SE"/>
        </w:rPr>
        <w:t xml:space="preserve">, dvs beroende på detaljer och komplexitet i lösningen som efterfrågas. </w:t>
      </w:r>
      <w:r w:rsidRPr="00AA1FE5">
        <w:rPr>
          <w:rFonts w:ascii="Calibri" w:eastAsia="Calibri" w:hAnsi="Calibri" w:cs="Calibri"/>
          <w:lang w:eastAsia="sv-SE"/>
        </w:rPr>
        <w:t xml:space="preserve"> </w:t>
      </w:r>
      <w:r>
        <w:rPr>
          <w:rFonts w:ascii="Calibri" w:eastAsia="Calibri" w:hAnsi="Calibri" w:cs="Calibri"/>
          <w:lang w:eastAsia="sv-SE"/>
        </w:rPr>
        <w:t>Men generellt ser vi att</w:t>
      </w:r>
      <w:r w:rsidRPr="00AA1FE5">
        <w:rPr>
          <w:rFonts w:ascii="Calibri" w:eastAsia="Calibri" w:hAnsi="Calibri" w:cs="Calibri"/>
          <w:lang w:eastAsia="sv-SE"/>
        </w:rPr>
        <w:t xml:space="preserve"> behovet </w:t>
      </w:r>
      <w:r>
        <w:rPr>
          <w:rFonts w:ascii="Calibri" w:eastAsia="Calibri" w:hAnsi="Calibri" w:cs="Calibri"/>
          <w:lang w:eastAsia="sv-SE"/>
        </w:rPr>
        <w:t>för precisering av krav fördelas enligt följande:</w:t>
      </w:r>
    </w:p>
    <w:p w14:paraId="2B04278B" w14:textId="77777777" w:rsidR="00455860" w:rsidRDefault="00455860" w:rsidP="00455860">
      <w:pPr>
        <w:pStyle w:val="Liststycke"/>
        <w:numPr>
          <w:ilvl w:val="0"/>
          <w:numId w:val="9"/>
        </w:numPr>
        <w:rPr>
          <w:rFonts w:ascii="Calibri" w:eastAsia="Calibri" w:hAnsi="Calibri" w:cs="Calibri"/>
          <w:lang w:eastAsia="sv-SE"/>
        </w:rPr>
      </w:pPr>
      <w:r>
        <w:rPr>
          <w:rFonts w:ascii="Calibri" w:eastAsia="Calibri" w:hAnsi="Calibri" w:cs="Calibri"/>
          <w:lang w:eastAsia="sv-SE"/>
        </w:rPr>
        <w:t>M</w:t>
      </w:r>
      <w:r w:rsidRPr="0032293C">
        <w:rPr>
          <w:rFonts w:ascii="Calibri" w:eastAsia="Calibri" w:hAnsi="Calibri" w:cs="Calibri"/>
          <w:lang w:eastAsia="sv-SE"/>
        </w:rPr>
        <w:t xml:space="preserve">indre </w:t>
      </w:r>
      <w:r>
        <w:rPr>
          <w:rFonts w:ascii="Calibri" w:eastAsia="Calibri" w:hAnsi="Calibri" w:cs="Calibri"/>
          <w:lang w:eastAsia="sv-SE"/>
        </w:rPr>
        <w:t xml:space="preserve">behov av precisering </w:t>
      </w:r>
      <w:r w:rsidRPr="0032293C">
        <w:rPr>
          <w:rFonts w:ascii="Calibri" w:eastAsia="Calibri" w:hAnsi="Calibri" w:cs="Calibri"/>
          <w:lang w:eastAsia="sv-SE"/>
        </w:rPr>
        <w:t xml:space="preserve">avsnitt “2 Tjänstens omfattning” och “3 Övergripande krav på tjänsten” </w:t>
      </w:r>
    </w:p>
    <w:p w14:paraId="65CEF76F" w14:textId="3C71897A" w:rsidR="004C1232" w:rsidRPr="00455860" w:rsidRDefault="00455860" w:rsidP="00455860">
      <w:pPr>
        <w:pStyle w:val="Liststycke"/>
        <w:numPr>
          <w:ilvl w:val="0"/>
          <w:numId w:val="9"/>
        </w:numPr>
        <w:rPr>
          <w:rFonts w:ascii="Calibri" w:eastAsia="Calibri" w:hAnsi="Calibri" w:cs="Calibri"/>
          <w:lang w:eastAsia="sv-SE"/>
        </w:rPr>
      </w:pPr>
      <w:r>
        <w:rPr>
          <w:rFonts w:ascii="Calibri" w:eastAsia="Calibri" w:hAnsi="Calibri" w:cs="Calibri"/>
          <w:lang w:eastAsia="sv-SE"/>
        </w:rPr>
        <w:t>Större behov av precisering avsnitt “4 Funktionella krav”</w:t>
      </w:r>
    </w:p>
    <w:p w14:paraId="4FF75C7A" w14:textId="77777777" w:rsidR="004C1232" w:rsidRDefault="004C1232" w:rsidP="004C1232">
      <w:pPr>
        <w:spacing w:after="0"/>
        <w:rPr>
          <w:rFonts w:ascii="Calibri" w:eastAsia="Calibri" w:hAnsi="Calibri" w:cs="Calibri"/>
          <w:lang w:eastAsia="sv-SE"/>
        </w:rPr>
      </w:pPr>
      <w:r>
        <w:rPr>
          <w:rFonts w:ascii="Calibri" w:eastAsia="Calibri" w:hAnsi="Calibri" w:cs="Calibri"/>
          <w:lang w:eastAsia="sv-SE"/>
        </w:rPr>
        <w:t>Nedan lyfter vi några exempel på funktioner och processer som kan behöva precisering av krav från er. De är således lämpliga att diskutera internt vid workshop för kravprecisering.</w:t>
      </w:r>
    </w:p>
    <w:p w14:paraId="5FA39786" w14:textId="77777777" w:rsidR="004C1232" w:rsidRDefault="004C1232" w:rsidP="004C1232">
      <w:pPr>
        <w:spacing w:after="0"/>
        <w:rPr>
          <w:rFonts w:ascii="Calibri" w:eastAsia="Calibri" w:hAnsi="Calibri" w:cs="Calibri"/>
          <w:lang w:eastAsia="sv-SE"/>
        </w:rPr>
      </w:pPr>
    </w:p>
    <w:p w14:paraId="21F8DC67" w14:textId="77777777" w:rsidR="004C1232" w:rsidRPr="00AA1FE5" w:rsidRDefault="004C1232" w:rsidP="004C1232">
      <w:pPr>
        <w:spacing w:after="0"/>
        <w:rPr>
          <w:rFonts w:ascii="Calibri" w:eastAsia="Calibri" w:hAnsi="Calibri" w:cs="Calibri"/>
          <w:lang w:eastAsia="sv-SE"/>
        </w:rPr>
      </w:pPr>
      <w:r w:rsidRPr="00AA1FE5">
        <w:rPr>
          <w:rFonts w:ascii="Calibri" w:eastAsia="Calibri" w:hAnsi="Calibri" w:cs="Calibri"/>
          <w:lang w:eastAsia="sv-SE"/>
        </w:rPr>
        <w:t>Exempel på preciseringar:</w:t>
      </w:r>
    </w:p>
    <w:p w14:paraId="632C2465"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Införandeprojekt inklusive migrering från befintligt system</w:t>
      </w:r>
    </w:p>
    <w:p w14:paraId="2F7D33C0"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Hantering av data och personuppgifter (PuB-avtal)</w:t>
      </w:r>
    </w:p>
    <w:p w14:paraId="7137064B"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Kvalitetssäkring av leveranser</w:t>
      </w:r>
    </w:p>
    <w:p w14:paraId="66F95844"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Förvaltningsrutiner inklusive utveckling, support, övervakning och incidenthantering</w:t>
      </w:r>
    </w:p>
    <w:p w14:paraId="06BC0DA3"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Integrationer</w:t>
      </w:r>
    </w:p>
    <w:p w14:paraId="7763CD06"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Resurs- och bidragstyper med regelverk och grad av beslutsautomation</w:t>
      </w:r>
    </w:p>
    <w:p w14:paraId="4ABD62D4"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Mallar och referensdata (värdemängder, texter, avtal)</w:t>
      </w:r>
    </w:p>
    <w:p w14:paraId="5E853E66"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Rapporter och underlag för statistik</w:t>
      </w:r>
    </w:p>
    <w:p w14:paraId="38B7B1A9" w14:textId="77777777" w:rsidR="004C1232" w:rsidRPr="00AA1FE5" w:rsidRDefault="004C1232" w:rsidP="004C1232">
      <w:pPr>
        <w:numPr>
          <w:ilvl w:val="0"/>
          <w:numId w:val="7"/>
        </w:numPr>
        <w:spacing w:after="0"/>
        <w:rPr>
          <w:rFonts w:ascii="Calibri" w:eastAsia="Calibri" w:hAnsi="Calibri" w:cs="Calibri"/>
          <w:lang w:eastAsia="sv-SE"/>
        </w:rPr>
      </w:pPr>
      <w:r w:rsidRPr="00AA1FE5">
        <w:rPr>
          <w:rFonts w:ascii="Calibri" w:eastAsia="Calibri" w:hAnsi="Calibri" w:cs="Calibri"/>
          <w:lang w:eastAsia="sv-SE"/>
        </w:rPr>
        <w:t>Nya funktioner och förmågor</w:t>
      </w:r>
    </w:p>
    <w:p w14:paraId="7A277BBB" w14:textId="77777777" w:rsidR="004C1232" w:rsidRPr="00631BD6" w:rsidRDefault="004C1232" w:rsidP="004C1232">
      <w:pPr>
        <w:numPr>
          <w:ilvl w:val="0"/>
          <w:numId w:val="7"/>
        </w:numPr>
        <w:rPr>
          <w:rFonts w:ascii="Calibri" w:eastAsia="Calibri" w:hAnsi="Calibri" w:cs="Calibri"/>
          <w:lang w:eastAsia="sv-SE"/>
        </w:rPr>
      </w:pPr>
      <w:r w:rsidRPr="00AA1FE5">
        <w:rPr>
          <w:rFonts w:ascii="Calibri" w:eastAsia="Calibri" w:hAnsi="Calibri" w:cs="Calibri"/>
          <w:lang w:eastAsia="sv-SE"/>
        </w:rPr>
        <w:t>Avveckling av tjänst</w:t>
      </w:r>
      <w:r>
        <w:rPr>
          <w:rFonts w:ascii="Calibri" w:eastAsia="Calibri" w:hAnsi="Calibri" w:cs="Calibri"/>
          <w:lang w:eastAsia="sv-SE"/>
        </w:rPr>
        <w:br/>
      </w:r>
    </w:p>
    <w:p w14:paraId="57C29EE2" w14:textId="77777777" w:rsidR="004C1232" w:rsidRDefault="004C1232" w:rsidP="004C1232">
      <w:r>
        <w:t xml:space="preserve">När det gäller funktionella krav är det av extra vikt att Tjänsten kan hantera era resurs- och bidragstyper med regelverk för handläggning, krav på automation och uppföljning (rapporter). </w:t>
      </w:r>
    </w:p>
    <w:p w14:paraId="605617F2" w14:textId="54CED2FE" w:rsidR="004C1232" w:rsidRDefault="004C1232" w:rsidP="004C1232">
      <w:r>
        <w:lastRenderedPageBreak/>
        <w:t>Se avsnitt  4.3.4 och  4.3.5 med krav för hantering  av bokningsobjekt/resurstyper samt avsnitt 4.3.7 och  4.3.8 med krav för hantering av bidragstyper.</w:t>
      </w:r>
    </w:p>
    <w:p w14:paraId="1D814845" w14:textId="5588521A" w:rsidR="00455860" w:rsidRDefault="00455860" w:rsidP="00455860">
      <w:pPr>
        <w:pStyle w:val="Rubrik2"/>
        <w:numPr>
          <w:ilvl w:val="1"/>
          <w:numId w:val="17"/>
        </w:numPr>
      </w:pPr>
      <w:bookmarkStart w:id="6" w:name="_Toc37931186"/>
      <w:r>
        <w:t>Exempel på preciseringar</w:t>
      </w:r>
      <w:bookmarkEnd w:id="6"/>
    </w:p>
    <w:p w14:paraId="583EB919" w14:textId="77777777" w:rsidR="00682BD3" w:rsidRPr="00443AE9" w:rsidRDefault="00682BD3" w:rsidP="00682BD3">
      <w:pPr>
        <w:rPr>
          <w:rFonts w:ascii="Calibri" w:eastAsia="Calibri" w:hAnsi="Calibri" w:cs="Calibri"/>
          <w:lang w:eastAsia="sv-SE"/>
        </w:rPr>
      </w:pPr>
      <w:r>
        <w:t xml:space="preserve">Nedan följer ett antal exempel på kravpreciseringar. </w:t>
      </w:r>
      <w:r>
        <w:rPr>
          <w:rFonts w:ascii="Calibri" w:eastAsia="Calibri" w:hAnsi="Calibri" w:cs="Calibri"/>
          <w:lang w:eastAsia="sv-SE"/>
        </w:rPr>
        <w:t>Fler exempel på kravpreciseringar återfinns även i Kravfångsdokumentet.</w:t>
      </w:r>
    </w:p>
    <w:p w14:paraId="61E18291" w14:textId="7D432DC1" w:rsidR="004C1232" w:rsidRDefault="004C1232" w:rsidP="004C1232">
      <w:pPr>
        <w:spacing w:after="0" w:line="240" w:lineRule="auto"/>
      </w:pPr>
      <w:r>
        <w:rPr>
          <w:b/>
        </w:rPr>
        <w:t>E</w:t>
      </w:r>
      <w:r w:rsidR="00455860">
        <w:rPr>
          <w:b/>
        </w:rPr>
        <w:t>x</w:t>
      </w:r>
      <w:r>
        <w:rPr>
          <w:b/>
        </w:rPr>
        <w:t>empel kravprecisering: 2.1:7 Stödtjänster</w:t>
      </w:r>
    </w:p>
    <w:p w14:paraId="235AE4D8" w14:textId="77777777" w:rsidR="004C1232" w:rsidRDefault="004C1232" w:rsidP="004C1232">
      <w:r>
        <w:t>Tjänsten ska kunna nyttja befintliga stödtjänster inklusive men ej begränsat till tjänster för onlinebetalning, ekonomisystem, e-identifiering av såväl personal (AD/ADFS) som invånare (IdP SAML 2.0), beslutsstöd, personuppgifter och inpassering.</w:t>
      </w:r>
    </w:p>
    <w:p w14:paraId="710A0915" w14:textId="77777777" w:rsidR="004C1232" w:rsidRDefault="004C1232" w:rsidP="004C1232">
      <w:pPr>
        <w:spacing w:after="0" w:line="240" w:lineRule="auto"/>
        <w:rPr>
          <w:b/>
        </w:rPr>
      </w:pPr>
      <w:r>
        <w:rPr>
          <w:b/>
        </w:rPr>
        <w:t>Precisering</w:t>
      </w:r>
    </w:p>
    <w:p w14:paraId="290B69EF" w14:textId="4464836D" w:rsidR="004C1232" w:rsidRDefault="004C1232" w:rsidP="004C1232">
      <w:r>
        <w:t>Onlinebetalning ska kopplas mot DIBS Easy och [beställarens] konto. Swish-</w:t>
      </w:r>
      <w:r w:rsidR="002A58FC">
        <w:t xml:space="preserve"> och kortbetalning ska stödjas.</w:t>
      </w:r>
    </w:p>
    <w:p w14:paraId="304B984C" w14:textId="42A6D967" w:rsidR="004C1232" w:rsidRPr="002A58FC" w:rsidRDefault="004C1232" w:rsidP="004C1232">
      <w:r>
        <w:t xml:space="preserve">Kunder ska logga in med mobilt BankID och då med [beställaren] som förlitande part (RP). </w:t>
      </w:r>
    </w:p>
    <w:p w14:paraId="5F1E6137" w14:textId="77777777" w:rsidR="004C1232" w:rsidRDefault="004C1232" w:rsidP="004C1232">
      <w:pPr>
        <w:rPr>
          <w:b/>
        </w:rPr>
      </w:pPr>
      <w:r w:rsidRPr="001E522B">
        <w:rPr>
          <w:b/>
        </w:rPr>
        <w:t>Exempel på kravprecisering: Behörighetsmodell</w:t>
      </w:r>
    </w:p>
    <w:p w14:paraId="2B84715E" w14:textId="77777777" w:rsidR="004C1232" w:rsidRPr="001E522B" w:rsidRDefault="004C1232" w:rsidP="004C1232">
      <w:pPr>
        <w:rPr>
          <w:b/>
          <w:iCs/>
        </w:rPr>
      </w:pPr>
      <w:r w:rsidRPr="001E522B">
        <w:rPr>
          <w:b/>
          <w:iCs/>
        </w:rPr>
        <w:t>Precisering:</w:t>
      </w:r>
    </w:p>
    <w:p w14:paraId="12FDFCB1" w14:textId="77777777" w:rsidR="004C1232" w:rsidRPr="001E522B" w:rsidRDefault="004C1232" w:rsidP="004C1232">
      <w:pPr>
        <w:rPr>
          <w:iCs/>
        </w:rPr>
      </w:pPr>
      <w:r w:rsidRPr="001E522B">
        <w:rPr>
          <w:iCs/>
        </w:rPr>
        <w:t>Ansvarig administratör ska styra vad varje användare kan göra i tjänsten och det görs genom att tilldela användaren en eller flera roller där respektive roll har tilldelats rättigheter till ett urval av funktioner och information i tjänsten. Exempel på funktioner kan vara:</w:t>
      </w:r>
    </w:p>
    <w:p w14:paraId="34D3C81A" w14:textId="77777777" w:rsidR="004C1232" w:rsidRPr="001E522B" w:rsidRDefault="004C1232" w:rsidP="004C1232">
      <w:pPr>
        <w:pStyle w:val="Liststycke"/>
        <w:numPr>
          <w:ilvl w:val="0"/>
          <w:numId w:val="11"/>
        </w:numPr>
        <w:rPr>
          <w:iCs/>
        </w:rPr>
      </w:pPr>
      <w:r w:rsidRPr="001E522B">
        <w:rPr>
          <w:iCs/>
        </w:rPr>
        <w:t>Administrera regelverket för behörighet</w:t>
      </w:r>
    </w:p>
    <w:p w14:paraId="3BB050F5" w14:textId="77777777" w:rsidR="004C1232" w:rsidRPr="001E522B" w:rsidRDefault="004C1232" w:rsidP="004C1232">
      <w:pPr>
        <w:pStyle w:val="Liststycke"/>
        <w:numPr>
          <w:ilvl w:val="0"/>
          <w:numId w:val="11"/>
        </w:numPr>
        <w:rPr>
          <w:iCs/>
        </w:rPr>
      </w:pPr>
      <w:r w:rsidRPr="001E522B">
        <w:rPr>
          <w:iCs/>
        </w:rPr>
        <w:t>Hantera information om föreningar</w:t>
      </w:r>
    </w:p>
    <w:p w14:paraId="761E93BA" w14:textId="77777777" w:rsidR="004C1232" w:rsidRPr="001E522B" w:rsidRDefault="004C1232" w:rsidP="004C1232">
      <w:pPr>
        <w:pStyle w:val="Liststycke"/>
        <w:numPr>
          <w:ilvl w:val="0"/>
          <w:numId w:val="11"/>
        </w:numPr>
        <w:rPr>
          <w:iCs/>
        </w:rPr>
      </w:pPr>
      <w:r w:rsidRPr="001E522B">
        <w:rPr>
          <w:iCs/>
        </w:rPr>
        <w:t>Läsa information om föreningar</w:t>
      </w:r>
    </w:p>
    <w:p w14:paraId="0E1646C7" w14:textId="77777777" w:rsidR="004C1232" w:rsidRPr="001E522B" w:rsidRDefault="004C1232" w:rsidP="004C1232">
      <w:pPr>
        <w:pStyle w:val="Liststycke"/>
        <w:numPr>
          <w:ilvl w:val="0"/>
          <w:numId w:val="11"/>
        </w:numPr>
        <w:rPr>
          <w:iCs/>
        </w:rPr>
      </w:pPr>
      <w:r w:rsidRPr="001E522B">
        <w:rPr>
          <w:iCs/>
        </w:rPr>
        <w:t>Attestera bidragsutbetalning</w:t>
      </w:r>
    </w:p>
    <w:p w14:paraId="07A5EBAE" w14:textId="77777777" w:rsidR="004C1232" w:rsidRPr="001E522B" w:rsidRDefault="004C1232" w:rsidP="004C1232">
      <w:pPr>
        <w:pStyle w:val="Liststycke"/>
        <w:numPr>
          <w:ilvl w:val="0"/>
          <w:numId w:val="11"/>
        </w:numPr>
        <w:rPr>
          <w:iCs/>
        </w:rPr>
      </w:pPr>
      <w:r w:rsidRPr="001E522B">
        <w:rPr>
          <w:iCs/>
        </w:rPr>
        <w:t>Redigera bokningsobjekt</w:t>
      </w:r>
    </w:p>
    <w:p w14:paraId="034F2C36" w14:textId="77777777" w:rsidR="004C1232" w:rsidRPr="001E522B" w:rsidRDefault="004C1232" w:rsidP="004C1232">
      <w:pPr>
        <w:pStyle w:val="Liststycke"/>
        <w:numPr>
          <w:ilvl w:val="0"/>
          <w:numId w:val="11"/>
        </w:numPr>
        <w:rPr>
          <w:iCs/>
        </w:rPr>
      </w:pPr>
      <w:r w:rsidRPr="001E522B">
        <w:rPr>
          <w:iCs/>
        </w:rPr>
        <w:t>Redigera bidragsregler</w:t>
      </w:r>
    </w:p>
    <w:p w14:paraId="0F5FB75C" w14:textId="77777777" w:rsidR="004C1232" w:rsidRPr="001E522B" w:rsidRDefault="004C1232" w:rsidP="004C1232">
      <w:pPr>
        <w:pStyle w:val="Liststycke"/>
        <w:numPr>
          <w:ilvl w:val="0"/>
          <w:numId w:val="11"/>
        </w:numPr>
        <w:rPr>
          <w:iCs/>
        </w:rPr>
      </w:pPr>
      <w:r w:rsidRPr="001E522B">
        <w:rPr>
          <w:iCs/>
        </w:rPr>
        <w:t>Handlägga bokningsförfrågningar för en eller flera verksamheter</w:t>
      </w:r>
    </w:p>
    <w:p w14:paraId="660A108D" w14:textId="77777777" w:rsidR="004C1232" w:rsidRPr="001E522B" w:rsidRDefault="004C1232" w:rsidP="004C1232">
      <w:pPr>
        <w:pStyle w:val="Liststycke"/>
        <w:numPr>
          <w:ilvl w:val="0"/>
          <w:numId w:val="11"/>
        </w:numPr>
        <w:rPr>
          <w:iCs/>
        </w:rPr>
      </w:pPr>
      <w:r w:rsidRPr="001E522B">
        <w:rPr>
          <w:iCs/>
        </w:rPr>
        <w:t>Handlägga bidragsansökningar för en eller flera verksamheter</w:t>
      </w:r>
    </w:p>
    <w:p w14:paraId="2B29D0AF" w14:textId="77777777" w:rsidR="004C1232" w:rsidRPr="001E522B" w:rsidRDefault="004C1232" w:rsidP="004C1232">
      <w:pPr>
        <w:pStyle w:val="Liststycke"/>
        <w:numPr>
          <w:ilvl w:val="0"/>
          <w:numId w:val="11"/>
        </w:numPr>
        <w:rPr>
          <w:iCs/>
        </w:rPr>
      </w:pPr>
      <w:r w:rsidRPr="001E522B">
        <w:rPr>
          <w:iCs/>
        </w:rPr>
        <w:t>Hantera mallar för bidragsansökningar</w:t>
      </w:r>
    </w:p>
    <w:p w14:paraId="7E378CC8" w14:textId="77777777" w:rsidR="004C1232" w:rsidRPr="001E522B" w:rsidRDefault="004C1232" w:rsidP="004C1232">
      <w:pPr>
        <w:pStyle w:val="Liststycke"/>
        <w:numPr>
          <w:ilvl w:val="0"/>
          <w:numId w:val="11"/>
        </w:numPr>
        <w:rPr>
          <w:iCs/>
        </w:rPr>
      </w:pPr>
      <w:r w:rsidRPr="001E522B">
        <w:rPr>
          <w:iCs/>
        </w:rPr>
        <w:t>Genomföra en bidragsutbetalning</w:t>
      </w:r>
    </w:p>
    <w:p w14:paraId="3420D23D" w14:textId="77777777" w:rsidR="004C1232" w:rsidRPr="001E522B" w:rsidRDefault="004C1232" w:rsidP="004C1232">
      <w:pPr>
        <w:rPr>
          <w:iCs/>
        </w:rPr>
      </w:pPr>
      <w:r w:rsidRPr="001E522B">
        <w:rPr>
          <w:iCs/>
        </w:rPr>
        <w:t>Behörighetsmodellen ska hantera flera verksamhetsområden där varje verksamhet har en egen uppsättning med roller och användare. En och samma användare ska kunna tilldelas behörighet till flera olika verksamhetsområden.</w:t>
      </w:r>
    </w:p>
    <w:p w14:paraId="6A2E321E" w14:textId="77777777" w:rsidR="004C1232" w:rsidRPr="001E522B" w:rsidRDefault="004C1232" w:rsidP="004C1232">
      <w:pPr>
        <w:rPr>
          <w:iCs/>
        </w:rPr>
      </w:pPr>
      <w:r w:rsidRPr="001E522B">
        <w:rPr>
          <w:iCs/>
        </w:rPr>
        <w:t>Behörighetsmodellen ska hantera ett obegränsat antal roller med obegränsat antal användare per roll.</w:t>
      </w:r>
    </w:p>
    <w:p w14:paraId="48C1BB98" w14:textId="2E332A05" w:rsidR="002A58FC" w:rsidRDefault="002A58FC" w:rsidP="002A58FC">
      <w:pPr>
        <w:spacing w:after="0" w:line="240" w:lineRule="auto"/>
      </w:pPr>
      <w:bookmarkStart w:id="7" w:name="_Toc34736869"/>
      <w:r w:rsidRPr="002A58FC">
        <w:rPr>
          <w:b/>
        </w:rPr>
        <w:t>Exempel på kravprecisering: Söka efter bidragsinformation (krav nr 4.2.2.3)</w:t>
      </w:r>
      <w:bookmarkEnd w:id="7"/>
    </w:p>
    <w:p w14:paraId="71CDFD0D" w14:textId="77777777" w:rsidR="002A58FC" w:rsidRDefault="002A58FC" w:rsidP="002A58FC">
      <w:pPr>
        <w:rPr>
          <w:i/>
        </w:rPr>
      </w:pPr>
    </w:p>
    <w:p w14:paraId="6DAF7A01" w14:textId="14B4A942" w:rsidR="002A58FC" w:rsidRDefault="002A58FC" w:rsidP="002A58FC">
      <w:r>
        <w:t>Användaren ska kunna söka efter tillgängliga bidrag och filtrera på målgrupp, ändamål och geografiskt område.</w:t>
      </w:r>
    </w:p>
    <w:p w14:paraId="7FE87BA2" w14:textId="77777777" w:rsidR="002A58FC" w:rsidRDefault="002A58FC" w:rsidP="002A58FC">
      <w:r>
        <w:lastRenderedPageBreak/>
        <w:t>Användaren ska kunna erhålla information om vilka föreningar som ansökt om bidrag. Såväl aktuella som historiska ansökningar ska kunna presenteras.</w:t>
      </w:r>
    </w:p>
    <w:p w14:paraId="56D43950" w14:textId="5C51B8E1" w:rsidR="002A58FC" w:rsidRDefault="002A58FC" w:rsidP="002A58FC">
      <w:r>
        <w:t>Användaren ska kunna erhålla information om aktuella och historiska bidragsbeslut, dvs. vilka föreningar har beviljats bidrag och omfattningen av dessa.</w:t>
      </w:r>
    </w:p>
    <w:p w14:paraId="26A7969E" w14:textId="77777777" w:rsidR="002A58FC" w:rsidRPr="008B3C8C" w:rsidRDefault="002A58FC" w:rsidP="002A58FC">
      <w:pPr>
        <w:rPr>
          <w:b/>
        </w:rPr>
      </w:pPr>
      <w:r w:rsidRPr="008B3C8C">
        <w:rPr>
          <w:b/>
        </w:rPr>
        <w:t xml:space="preserve">Precisering: </w:t>
      </w:r>
    </w:p>
    <w:p w14:paraId="0649FC1A" w14:textId="77777777" w:rsidR="002A58FC" w:rsidRDefault="002A58FC" w:rsidP="002A58FC">
      <w:r w:rsidRPr="00F05B1A">
        <w:t>Användaren (d.v.s. föreningen) ska inte kunna se andra föreningars bidragsansökningar och beslut. Dessa lämnas istället ut på begäran.</w:t>
      </w:r>
    </w:p>
    <w:p w14:paraId="6228878D" w14:textId="4B0D0FCF" w:rsidR="001E522B" w:rsidRDefault="001E522B" w:rsidP="004C1232">
      <w:pPr>
        <w:rPr>
          <w:b/>
        </w:rPr>
      </w:pPr>
    </w:p>
    <w:p w14:paraId="22D991F7" w14:textId="77777777" w:rsidR="00443AE9" w:rsidRDefault="00443AE9" w:rsidP="00443AE9">
      <w:pPr>
        <w:pStyle w:val="Rubrik2"/>
        <w:numPr>
          <w:ilvl w:val="0"/>
          <w:numId w:val="10"/>
        </w:numPr>
        <w:spacing w:before="120"/>
        <w:ind w:left="425" w:hanging="357"/>
      </w:pPr>
      <w:bookmarkStart w:id="8" w:name="_Toc29814431"/>
      <w:bookmarkStart w:id="9" w:name="_Toc37931187"/>
      <w:r>
        <w:t>Acceptanstest</w:t>
      </w:r>
      <w:bookmarkEnd w:id="8"/>
      <w:bookmarkEnd w:id="9"/>
    </w:p>
    <w:p w14:paraId="2C1C8550" w14:textId="21E5F556" w:rsidR="00443AE9" w:rsidRDefault="00443AE9" w:rsidP="00443AE9">
      <w:r>
        <w:t>Det rekommenderas att acceptanstest för godkännande av leveransen är en del av kravställningen och därmed även en del av avropsförfrågan. Dessutom krävs en beredskap för att hantera eventuella kravförändringar i samband med tjänsteleveransen.</w:t>
      </w:r>
    </w:p>
    <w:p w14:paraId="0B10A2D0" w14:textId="34BAE451" w:rsidR="00443AE9" w:rsidRDefault="00443AE9" w:rsidP="00443AE9">
      <w:r>
        <w:t>Ett acceptanstest säkerställer att leveransen uppfyller kravställningen och att Tjänsten kvalitetsmässigt motsvarar ställda krav. Det är särskilt viktigt att verifiera att de egna arbetsflödena med underliggande tekniska integrationer fungerar på avsett sätt. Det rekommenderas vidare att en testledare med testerfarenhet utses med uppgift att planera och genomföra acceptanstesterna tillsammans med representanter från verksamheten. Det rekommenderas att testledaren inte representeras av tjänsteleverantören.</w:t>
      </w:r>
    </w:p>
    <w:p w14:paraId="1842C840" w14:textId="77777777" w:rsidR="00443AE9" w:rsidRDefault="00443AE9" w:rsidP="00443AE9">
      <w:r>
        <w:t>Några tips vid framtagande av acceptanstest är:</w:t>
      </w:r>
    </w:p>
    <w:p w14:paraId="55090C0D" w14:textId="77777777" w:rsidR="00443AE9" w:rsidRPr="00D10CF5" w:rsidRDefault="00443AE9" w:rsidP="00443AE9">
      <w:pPr>
        <w:pStyle w:val="Liststycke"/>
        <w:numPr>
          <w:ilvl w:val="0"/>
          <w:numId w:val="14"/>
        </w:numPr>
        <w:spacing w:after="0" w:line="240" w:lineRule="auto"/>
      </w:pPr>
      <w:r>
        <w:t xml:space="preserve">Ett acceptanstest ska kunna upprepas om och om igen tills testet är godkänt </w:t>
      </w:r>
      <w:r w:rsidRPr="00D10CF5">
        <w:t>(regressionstest). Lämpligen används testverktyg</w:t>
      </w:r>
      <w:r>
        <w:t xml:space="preserve"> för detta.</w:t>
      </w:r>
    </w:p>
    <w:p w14:paraId="57202F87" w14:textId="77777777" w:rsidR="00443AE9" w:rsidRPr="00D10CF5" w:rsidRDefault="00443AE9" w:rsidP="00443AE9">
      <w:pPr>
        <w:pStyle w:val="Liststycke"/>
        <w:numPr>
          <w:ilvl w:val="0"/>
          <w:numId w:val="14"/>
        </w:numPr>
        <w:spacing w:after="0" w:line="240" w:lineRule="auto"/>
      </w:pPr>
      <w:r>
        <w:t xml:space="preserve">Säkerställ leverantörens kompetens och beredskap för att kunna åtgärda fel enligt en i förväg överenskommen tidsplan. </w:t>
      </w:r>
      <w:r w:rsidRPr="00D10CF5">
        <w:t>Om man har en testperiod så måste lev</w:t>
      </w:r>
      <w:r>
        <w:t>erantören</w:t>
      </w:r>
      <w:r w:rsidRPr="00D10CF5">
        <w:t xml:space="preserve"> ha personal som åtgärdar fel (tekniker, utvecklare m.m)</w:t>
      </w:r>
      <w:r>
        <w:t>. Säkerställ</w:t>
      </w:r>
      <w:r w:rsidRPr="00D10CF5">
        <w:t xml:space="preserve"> att lev</w:t>
      </w:r>
      <w:r>
        <w:t>erantören</w:t>
      </w:r>
      <w:r w:rsidRPr="00D10CF5">
        <w:t xml:space="preserve"> klarar av att hantera flera parallella införanden för att säkra att leverantö</w:t>
      </w:r>
      <w:r>
        <w:t xml:space="preserve">ren klarar av att hålla </w:t>
      </w:r>
      <w:r w:rsidRPr="00D10CF5">
        <w:t>tidplan</w:t>
      </w:r>
      <w:r>
        <w:t>.</w:t>
      </w:r>
    </w:p>
    <w:p w14:paraId="08CC41F6" w14:textId="77777777" w:rsidR="00443AE9" w:rsidRDefault="00443AE9" w:rsidP="00443AE9">
      <w:pPr>
        <w:pStyle w:val="Liststycke"/>
        <w:numPr>
          <w:ilvl w:val="0"/>
          <w:numId w:val="14"/>
        </w:numPr>
        <w:spacing w:after="0" w:line="240" w:lineRule="auto"/>
      </w:pPr>
      <w:r>
        <w:t>Tydliggör ansvarsfördelningen mellan verksamhetens acceptanstest och leverantörens test- och leveransprocesser</w:t>
      </w:r>
    </w:p>
    <w:p w14:paraId="1F0B2DC5" w14:textId="77777777" w:rsidR="00443AE9" w:rsidRDefault="00443AE9" w:rsidP="00443AE9">
      <w:pPr>
        <w:pStyle w:val="Liststycke"/>
      </w:pPr>
      <w:r>
        <w:t xml:space="preserve">Beskriv vilka testmiljöer som måste finnas och hur dessa etableras. Miljön för acceptanstest bör vara så produktionslik som möjligt. </w:t>
      </w:r>
      <w:r w:rsidRPr="00D10CF5">
        <w:t>Har man möjlighet att använda äkta data så är det bra.</w:t>
      </w:r>
    </w:p>
    <w:p w14:paraId="0AE7A946" w14:textId="77777777" w:rsidR="00443AE9" w:rsidRDefault="00443AE9" w:rsidP="00443AE9">
      <w:pPr>
        <w:pStyle w:val="Liststycke"/>
        <w:numPr>
          <w:ilvl w:val="0"/>
          <w:numId w:val="15"/>
        </w:numPr>
        <w:spacing w:after="0" w:line="240" w:lineRule="auto"/>
        <w:contextualSpacing w:val="0"/>
      </w:pPr>
      <w:r>
        <w:t xml:space="preserve">Ta </w:t>
      </w:r>
      <w:r w:rsidRPr="00EB3C4F">
        <w:t>fram överenskomna och tydliga kriterier för såväl start av acceptanstestning som när leveransen är godkänd alternativt underkänd. Detta kan göras i samband med avtalstecknande eller ta med redan i avropsunderlaget. Man kan även i avropet be leverantören inkomma med förslag på kriterier och tidplan</w:t>
      </w:r>
    </w:p>
    <w:p w14:paraId="4F24496C" w14:textId="77777777" w:rsidR="00443AE9" w:rsidRPr="001E522B" w:rsidRDefault="00443AE9" w:rsidP="004C1232">
      <w:pPr>
        <w:rPr>
          <w:b/>
        </w:rPr>
      </w:pPr>
    </w:p>
    <w:bookmarkEnd w:id="0"/>
    <w:sectPr w:rsidR="00443AE9" w:rsidRPr="001E522B" w:rsidSect="00631BD6">
      <w:headerReference w:type="default" r:id="rId8"/>
      <w:footerReference w:type="default" r:id="rId9"/>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9D6E" w14:textId="77777777" w:rsidR="009431F1" w:rsidRDefault="009431F1" w:rsidP="00DE6B7C">
      <w:pPr>
        <w:spacing w:after="0" w:line="240" w:lineRule="auto"/>
      </w:pPr>
      <w:r>
        <w:separator/>
      </w:r>
    </w:p>
  </w:endnote>
  <w:endnote w:type="continuationSeparator" w:id="0">
    <w:p w14:paraId="54D9A5BE" w14:textId="77777777" w:rsidR="009431F1" w:rsidRDefault="009431F1" w:rsidP="00D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85169"/>
      <w:docPartObj>
        <w:docPartGallery w:val="Page Numbers (Bottom of Page)"/>
        <w:docPartUnique/>
      </w:docPartObj>
    </w:sdtPr>
    <w:sdtEndPr/>
    <w:sdtContent>
      <w:p w14:paraId="3C70F15C" w14:textId="54009B29" w:rsidR="00ED6377" w:rsidRDefault="00ED6377">
        <w:pPr>
          <w:pStyle w:val="Sidfot"/>
          <w:jc w:val="right"/>
        </w:pPr>
        <w:r>
          <w:fldChar w:fldCharType="begin"/>
        </w:r>
        <w:r>
          <w:instrText>PAGE   \* MERGEFORMAT</w:instrText>
        </w:r>
        <w:r>
          <w:fldChar w:fldCharType="separate"/>
        </w:r>
        <w:r w:rsidR="00682BD3">
          <w:rPr>
            <w:noProof/>
          </w:rPr>
          <w:t>1</w:t>
        </w:r>
        <w:r>
          <w:fldChar w:fldCharType="end"/>
        </w:r>
      </w:p>
    </w:sdtContent>
  </w:sdt>
  <w:p w14:paraId="5A64A8EB" w14:textId="77777777" w:rsidR="00ED6377" w:rsidRDefault="00ED637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5AA6" w14:textId="77777777" w:rsidR="009431F1" w:rsidRDefault="009431F1" w:rsidP="00DE6B7C">
      <w:pPr>
        <w:spacing w:after="0" w:line="240" w:lineRule="auto"/>
      </w:pPr>
      <w:r>
        <w:separator/>
      </w:r>
    </w:p>
  </w:footnote>
  <w:footnote w:type="continuationSeparator" w:id="0">
    <w:p w14:paraId="087C1994" w14:textId="77777777" w:rsidR="009431F1" w:rsidRDefault="009431F1" w:rsidP="00DE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F3F1" w14:textId="54B0374D" w:rsidR="00ED6377" w:rsidRDefault="00ED6377">
    <w:pPr>
      <w:pStyle w:val="Sidhuvud"/>
    </w:pPr>
    <w:r>
      <w:rPr>
        <w:b/>
        <w:noProof/>
        <w:lang w:eastAsia="sv-SE"/>
      </w:rPr>
      <w:drawing>
        <wp:inline distT="0" distB="0" distL="0" distR="0" wp14:anchorId="7AC8F85D" wp14:editId="0AECF27D">
          <wp:extent cx="3067050" cy="263575"/>
          <wp:effectExtent l="0" t="0" r="0" b="3175"/>
          <wp:docPr id="8" name="Bild 1" descr="SKL_Kommentus_IC_office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_Kommentus_IC_office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039" cy="267957"/>
                  </a:xfrm>
                  <a:prstGeom prst="rect">
                    <a:avLst/>
                  </a:prstGeom>
                  <a:noFill/>
                  <a:ln>
                    <a:noFill/>
                  </a:ln>
                </pic:spPr>
              </pic:pic>
            </a:graphicData>
          </a:graphic>
        </wp:inline>
      </w:drawing>
    </w:r>
    <w:r w:rsidR="00682BD3">
      <w:tab/>
      <w:t>2020-04-16</w:t>
    </w:r>
  </w:p>
  <w:p w14:paraId="223525E1" w14:textId="77777777" w:rsidR="007E1D0C" w:rsidRDefault="007E1D0C">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B41"/>
    <w:multiLevelType w:val="hybridMultilevel"/>
    <w:tmpl w:val="D2A48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D3AA1"/>
    <w:multiLevelType w:val="hybridMultilevel"/>
    <w:tmpl w:val="F72CD7A0"/>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6E40014"/>
    <w:multiLevelType w:val="hybridMultilevel"/>
    <w:tmpl w:val="369ED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7718B9"/>
    <w:multiLevelType w:val="multilevel"/>
    <w:tmpl w:val="6B92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703780"/>
    <w:multiLevelType w:val="multilevel"/>
    <w:tmpl w:val="ABCC4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AC095C"/>
    <w:multiLevelType w:val="multilevel"/>
    <w:tmpl w:val="85DCD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DB3C9B"/>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F92286"/>
    <w:multiLevelType w:val="hybridMultilevel"/>
    <w:tmpl w:val="0352B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6C7B71"/>
    <w:multiLevelType w:val="hybridMultilevel"/>
    <w:tmpl w:val="785CE2B2"/>
    <w:lvl w:ilvl="0" w:tplc="4FA85F4C">
      <w:start w:val="5"/>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30313C"/>
    <w:multiLevelType w:val="hybridMultilevel"/>
    <w:tmpl w:val="DFBA5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4F105E"/>
    <w:multiLevelType w:val="hybridMultilevel"/>
    <w:tmpl w:val="223E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97BA5"/>
    <w:multiLevelType w:val="multilevel"/>
    <w:tmpl w:val="7C9E4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266853"/>
    <w:multiLevelType w:val="hybridMultilevel"/>
    <w:tmpl w:val="05DE7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508A4"/>
    <w:multiLevelType w:val="multilevel"/>
    <w:tmpl w:val="72B6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3E2059"/>
    <w:multiLevelType w:val="multilevel"/>
    <w:tmpl w:val="406A9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CA611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6C4312DD"/>
    <w:multiLevelType w:val="hybridMultilevel"/>
    <w:tmpl w:val="D5FC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13"/>
  </w:num>
  <w:num w:numId="6">
    <w:abstractNumId w:val="3"/>
  </w:num>
  <w:num w:numId="7">
    <w:abstractNumId w:val="14"/>
  </w:num>
  <w:num w:numId="8">
    <w:abstractNumId w:val="5"/>
  </w:num>
  <w:num w:numId="9">
    <w:abstractNumId w:val="8"/>
  </w:num>
  <w:num w:numId="10">
    <w:abstractNumId w:val="1"/>
  </w:num>
  <w:num w:numId="11">
    <w:abstractNumId w:val="0"/>
  </w:num>
  <w:num w:numId="12">
    <w:abstractNumId w:val="2"/>
  </w:num>
  <w:num w:numId="13">
    <w:abstractNumId w:val="12"/>
  </w:num>
  <w:num w:numId="14">
    <w:abstractNumId w:val="10"/>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AF"/>
    <w:rsid w:val="000077C2"/>
    <w:rsid w:val="00007D02"/>
    <w:rsid w:val="00024747"/>
    <w:rsid w:val="000A3AFB"/>
    <w:rsid w:val="00146BFF"/>
    <w:rsid w:val="0017687B"/>
    <w:rsid w:val="001E522B"/>
    <w:rsid w:val="001F1AF8"/>
    <w:rsid w:val="001F73D6"/>
    <w:rsid w:val="00254A63"/>
    <w:rsid w:val="002576E4"/>
    <w:rsid w:val="00260B75"/>
    <w:rsid w:val="00262D70"/>
    <w:rsid w:val="002634B6"/>
    <w:rsid w:val="002A58FC"/>
    <w:rsid w:val="002B6253"/>
    <w:rsid w:val="003021DD"/>
    <w:rsid w:val="00304471"/>
    <w:rsid w:val="00320DAF"/>
    <w:rsid w:val="0032293C"/>
    <w:rsid w:val="003337FF"/>
    <w:rsid w:val="003542C3"/>
    <w:rsid w:val="00397CBE"/>
    <w:rsid w:val="003B302A"/>
    <w:rsid w:val="003E220E"/>
    <w:rsid w:val="004001A2"/>
    <w:rsid w:val="00403AA6"/>
    <w:rsid w:val="0041380F"/>
    <w:rsid w:val="00422ABA"/>
    <w:rsid w:val="00443AE9"/>
    <w:rsid w:val="00455860"/>
    <w:rsid w:val="00495515"/>
    <w:rsid w:val="004B285E"/>
    <w:rsid w:val="004C1232"/>
    <w:rsid w:val="004D3274"/>
    <w:rsid w:val="004F0EBA"/>
    <w:rsid w:val="00516C0D"/>
    <w:rsid w:val="00572193"/>
    <w:rsid w:val="00586FFD"/>
    <w:rsid w:val="005A1B38"/>
    <w:rsid w:val="005F1C8A"/>
    <w:rsid w:val="0060662B"/>
    <w:rsid w:val="006124E9"/>
    <w:rsid w:val="00631BD6"/>
    <w:rsid w:val="00657343"/>
    <w:rsid w:val="00682BD3"/>
    <w:rsid w:val="006B7744"/>
    <w:rsid w:val="006E1D97"/>
    <w:rsid w:val="00754022"/>
    <w:rsid w:val="00762815"/>
    <w:rsid w:val="00766595"/>
    <w:rsid w:val="00767B22"/>
    <w:rsid w:val="007A426F"/>
    <w:rsid w:val="007B2D1E"/>
    <w:rsid w:val="007B3E51"/>
    <w:rsid w:val="007C58A8"/>
    <w:rsid w:val="007D140B"/>
    <w:rsid w:val="007E1D0C"/>
    <w:rsid w:val="008029AF"/>
    <w:rsid w:val="00806EE6"/>
    <w:rsid w:val="00815498"/>
    <w:rsid w:val="00825296"/>
    <w:rsid w:val="00847713"/>
    <w:rsid w:val="00870B3A"/>
    <w:rsid w:val="00875185"/>
    <w:rsid w:val="00883371"/>
    <w:rsid w:val="008B3C8C"/>
    <w:rsid w:val="008C6A9B"/>
    <w:rsid w:val="00912485"/>
    <w:rsid w:val="00913C62"/>
    <w:rsid w:val="00915985"/>
    <w:rsid w:val="00920872"/>
    <w:rsid w:val="009302A3"/>
    <w:rsid w:val="009431F1"/>
    <w:rsid w:val="009A358C"/>
    <w:rsid w:val="009A46F8"/>
    <w:rsid w:val="009E1F29"/>
    <w:rsid w:val="009E29DC"/>
    <w:rsid w:val="00A04E75"/>
    <w:rsid w:val="00A152E2"/>
    <w:rsid w:val="00A170F0"/>
    <w:rsid w:val="00A31A0A"/>
    <w:rsid w:val="00A3386F"/>
    <w:rsid w:val="00A4279A"/>
    <w:rsid w:val="00A47D36"/>
    <w:rsid w:val="00A517EE"/>
    <w:rsid w:val="00A63AD6"/>
    <w:rsid w:val="00A71130"/>
    <w:rsid w:val="00A84F20"/>
    <w:rsid w:val="00A86B0E"/>
    <w:rsid w:val="00AA1FE5"/>
    <w:rsid w:val="00AC5A8B"/>
    <w:rsid w:val="00AF3B3B"/>
    <w:rsid w:val="00AF4842"/>
    <w:rsid w:val="00B05632"/>
    <w:rsid w:val="00B05F31"/>
    <w:rsid w:val="00B35609"/>
    <w:rsid w:val="00B470CF"/>
    <w:rsid w:val="00B67E23"/>
    <w:rsid w:val="00B95A8E"/>
    <w:rsid w:val="00B95B50"/>
    <w:rsid w:val="00BA47B4"/>
    <w:rsid w:val="00BA52BE"/>
    <w:rsid w:val="00BA63B1"/>
    <w:rsid w:val="00BC506B"/>
    <w:rsid w:val="00BD5391"/>
    <w:rsid w:val="00BF2010"/>
    <w:rsid w:val="00C10DAF"/>
    <w:rsid w:val="00C72848"/>
    <w:rsid w:val="00CD2060"/>
    <w:rsid w:val="00CE6570"/>
    <w:rsid w:val="00CE7158"/>
    <w:rsid w:val="00D06DDB"/>
    <w:rsid w:val="00D11AC9"/>
    <w:rsid w:val="00D1316D"/>
    <w:rsid w:val="00D669F9"/>
    <w:rsid w:val="00D71A41"/>
    <w:rsid w:val="00D81E2B"/>
    <w:rsid w:val="00D87FFD"/>
    <w:rsid w:val="00D95E34"/>
    <w:rsid w:val="00DB01EB"/>
    <w:rsid w:val="00DC7BFE"/>
    <w:rsid w:val="00DE6B7C"/>
    <w:rsid w:val="00E01E63"/>
    <w:rsid w:val="00E1179F"/>
    <w:rsid w:val="00E4129D"/>
    <w:rsid w:val="00E75F58"/>
    <w:rsid w:val="00E8326A"/>
    <w:rsid w:val="00E83CCE"/>
    <w:rsid w:val="00ED6377"/>
    <w:rsid w:val="00EF7D2B"/>
    <w:rsid w:val="00F11499"/>
    <w:rsid w:val="00F2604D"/>
    <w:rsid w:val="00F35B30"/>
    <w:rsid w:val="00F41A40"/>
    <w:rsid w:val="00F50B79"/>
    <w:rsid w:val="00F56F1F"/>
    <w:rsid w:val="00F57754"/>
    <w:rsid w:val="00F6524F"/>
    <w:rsid w:val="00F953CD"/>
    <w:rsid w:val="00FA5457"/>
    <w:rsid w:val="00FE7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FB2415"/>
  <w15:chartTrackingRefBased/>
  <w15:docId w15:val="{59BD11BC-FFC3-4AED-9556-9BB91EA2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E6B7C"/>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86FFD"/>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07D02"/>
    <w:pPr>
      <w:keepNext/>
      <w:keepLines/>
      <w:numPr>
        <w:ilvl w:val="2"/>
        <w:numId w:val="16"/>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3021DD"/>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455860"/>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455860"/>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455860"/>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455860"/>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55860"/>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6B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6B7C"/>
  </w:style>
  <w:style w:type="paragraph" w:styleId="Sidfot">
    <w:name w:val="footer"/>
    <w:basedOn w:val="Normal"/>
    <w:link w:val="SidfotChar"/>
    <w:uiPriority w:val="99"/>
    <w:unhideWhenUsed/>
    <w:rsid w:val="00DE6B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6B7C"/>
  </w:style>
  <w:style w:type="character" w:customStyle="1" w:styleId="Rubrik1Char">
    <w:name w:val="Rubrik 1 Char"/>
    <w:basedOn w:val="Standardstycketeckensnitt"/>
    <w:link w:val="Rubrik1"/>
    <w:uiPriority w:val="9"/>
    <w:rsid w:val="00DE6B7C"/>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DE6B7C"/>
    <w:pPr>
      <w:ind w:left="720"/>
      <w:contextualSpacing/>
    </w:pPr>
  </w:style>
  <w:style w:type="character" w:styleId="Platshllartext">
    <w:name w:val="Placeholder Text"/>
    <w:basedOn w:val="Standardstycketeckensnitt"/>
    <w:uiPriority w:val="99"/>
    <w:semiHidden/>
    <w:rsid w:val="00A04E75"/>
    <w:rPr>
      <w:color w:val="808080"/>
    </w:rPr>
  </w:style>
  <w:style w:type="character" w:styleId="Kommentarsreferens">
    <w:name w:val="annotation reference"/>
    <w:basedOn w:val="Standardstycketeckensnitt"/>
    <w:uiPriority w:val="99"/>
    <w:semiHidden/>
    <w:unhideWhenUsed/>
    <w:rsid w:val="00A4279A"/>
    <w:rPr>
      <w:sz w:val="16"/>
      <w:szCs w:val="16"/>
    </w:rPr>
  </w:style>
  <w:style w:type="paragraph" w:styleId="Kommentarer">
    <w:name w:val="annotation text"/>
    <w:basedOn w:val="Normal"/>
    <w:link w:val="KommentarerChar"/>
    <w:uiPriority w:val="99"/>
    <w:semiHidden/>
    <w:unhideWhenUsed/>
    <w:rsid w:val="00A4279A"/>
    <w:pPr>
      <w:spacing w:line="240" w:lineRule="auto"/>
    </w:pPr>
    <w:rPr>
      <w:sz w:val="20"/>
      <w:szCs w:val="20"/>
    </w:rPr>
  </w:style>
  <w:style w:type="character" w:customStyle="1" w:styleId="KommentarerChar">
    <w:name w:val="Kommentarer Char"/>
    <w:basedOn w:val="Standardstycketeckensnitt"/>
    <w:link w:val="Kommentarer"/>
    <w:uiPriority w:val="99"/>
    <w:semiHidden/>
    <w:rsid w:val="00A4279A"/>
    <w:rPr>
      <w:sz w:val="20"/>
      <w:szCs w:val="20"/>
    </w:rPr>
  </w:style>
  <w:style w:type="paragraph" w:styleId="Kommentarsmne">
    <w:name w:val="annotation subject"/>
    <w:basedOn w:val="Kommentarer"/>
    <w:next w:val="Kommentarer"/>
    <w:link w:val="KommentarsmneChar"/>
    <w:uiPriority w:val="99"/>
    <w:semiHidden/>
    <w:unhideWhenUsed/>
    <w:rsid w:val="00A4279A"/>
    <w:rPr>
      <w:b/>
      <w:bCs/>
    </w:rPr>
  </w:style>
  <w:style w:type="character" w:customStyle="1" w:styleId="KommentarsmneChar">
    <w:name w:val="Kommentarsämne Char"/>
    <w:basedOn w:val="KommentarerChar"/>
    <w:link w:val="Kommentarsmne"/>
    <w:uiPriority w:val="99"/>
    <w:semiHidden/>
    <w:rsid w:val="00A4279A"/>
    <w:rPr>
      <w:b/>
      <w:bCs/>
      <w:sz w:val="20"/>
      <w:szCs w:val="20"/>
    </w:rPr>
  </w:style>
  <w:style w:type="paragraph" w:styleId="Revision">
    <w:name w:val="Revision"/>
    <w:hidden/>
    <w:uiPriority w:val="99"/>
    <w:semiHidden/>
    <w:rsid w:val="00A4279A"/>
    <w:pPr>
      <w:spacing w:after="0" w:line="240" w:lineRule="auto"/>
    </w:pPr>
  </w:style>
  <w:style w:type="paragraph" w:styleId="Ballongtext">
    <w:name w:val="Balloon Text"/>
    <w:basedOn w:val="Normal"/>
    <w:link w:val="BallongtextChar"/>
    <w:uiPriority w:val="99"/>
    <w:semiHidden/>
    <w:unhideWhenUsed/>
    <w:rsid w:val="00A427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79A"/>
    <w:rPr>
      <w:rFonts w:ascii="Segoe UI" w:hAnsi="Segoe UI" w:cs="Segoe UI"/>
      <w:sz w:val="18"/>
      <w:szCs w:val="18"/>
    </w:rPr>
  </w:style>
  <w:style w:type="character" w:styleId="Hyperlnk">
    <w:name w:val="Hyperlink"/>
    <w:basedOn w:val="Standardstycketeckensnitt"/>
    <w:uiPriority w:val="99"/>
    <w:unhideWhenUsed/>
    <w:rsid w:val="009302A3"/>
    <w:rPr>
      <w:color w:val="0563C1" w:themeColor="hyperlink"/>
      <w:u w:val="single"/>
    </w:rPr>
  </w:style>
  <w:style w:type="character" w:customStyle="1" w:styleId="Rubrik2Char">
    <w:name w:val="Rubrik 2 Char"/>
    <w:basedOn w:val="Standardstycketeckensnitt"/>
    <w:link w:val="Rubrik2"/>
    <w:uiPriority w:val="9"/>
    <w:rsid w:val="00586FFD"/>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A71130"/>
    <w:rPr>
      <w:color w:val="954F72" w:themeColor="followedHyperlink"/>
      <w:u w:val="single"/>
    </w:rPr>
  </w:style>
  <w:style w:type="character" w:customStyle="1" w:styleId="Rubrik3Char">
    <w:name w:val="Rubrik 3 Char"/>
    <w:basedOn w:val="Standardstycketeckensnitt"/>
    <w:link w:val="Rubrik3"/>
    <w:uiPriority w:val="9"/>
    <w:rsid w:val="00007D02"/>
    <w:rPr>
      <w:rFonts w:asciiTheme="majorHAnsi" w:eastAsiaTheme="majorEastAsia" w:hAnsiTheme="majorHAnsi" w:cstheme="majorBidi"/>
      <w:color w:val="1F4D78" w:themeColor="accent1" w:themeShade="7F"/>
      <w:sz w:val="24"/>
      <w:szCs w:val="24"/>
    </w:rPr>
  </w:style>
  <w:style w:type="paragraph" w:styleId="Beskrivning">
    <w:name w:val="caption"/>
    <w:basedOn w:val="Normal"/>
    <w:next w:val="Normal"/>
    <w:uiPriority w:val="35"/>
    <w:semiHidden/>
    <w:unhideWhenUsed/>
    <w:qFormat/>
    <w:rsid w:val="00806EE6"/>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302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021DD"/>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3021DD"/>
    <w:pPr>
      <w:numPr>
        <w:numId w:val="0"/>
      </w:numPr>
      <w:outlineLvl w:val="9"/>
    </w:pPr>
    <w:rPr>
      <w:lang w:eastAsia="sv-SE"/>
    </w:rPr>
  </w:style>
  <w:style w:type="paragraph" w:styleId="Innehll2">
    <w:name w:val="toc 2"/>
    <w:basedOn w:val="Normal"/>
    <w:next w:val="Normal"/>
    <w:autoRedefine/>
    <w:uiPriority w:val="39"/>
    <w:unhideWhenUsed/>
    <w:rsid w:val="00455860"/>
    <w:pPr>
      <w:tabs>
        <w:tab w:val="left" w:pos="660"/>
        <w:tab w:val="right" w:leader="dot" w:pos="9062"/>
      </w:tabs>
      <w:spacing w:after="100"/>
      <w:ind w:left="220"/>
    </w:pPr>
  </w:style>
  <w:style w:type="paragraph" w:styleId="Innehll3">
    <w:name w:val="toc 3"/>
    <w:basedOn w:val="Normal"/>
    <w:next w:val="Normal"/>
    <w:autoRedefine/>
    <w:uiPriority w:val="39"/>
    <w:unhideWhenUsed/>
    <w:rsid w:val="003021DD"/>
    <w:pPr>
      <w:spacing w:after="100"/>
      <w:ind w:left="440"/>
    </w:pPr>
  </w:style>
  <w:style w:type="character" w:customStyle="1" w:styleId="Rubrik4Char">
    <w:name w:val="Rubrik 4 Char"/>
    <w:basedOn w:val="Standardstycketeckensnitt"/>
    <w:link w:val="Rubrik4"/>
    <w:uiPriority w:val="9"/>
    <w:rsid w:val="003021DD"/>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455860"/>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455860"/>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455860"/>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45586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558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5607">
      <w:bodyDiv w:val="1"/>
      <w:marLeft w:val="0"/>
      <w:marRight w:val="0"/>
      <w:marTop w:val="0"/>
      <w:marBottom w:val="0"/>
      <w:divBdr>
        <w:top w:val="none" w:sz="0" w:space="0" w:color="auto"/>
        <w:left w:val="none" w:sz="0" w:space="0" w:color="auto"/>
        <w:bottom w:val="none" w:sz="0" w:space="0" w:color="auto"/>
        <w:right w:val="none" w:sz="0" w:space="0" w:color="auto"/>
      </w:divBdr>
    </w:div>
    <w:div w:id="334308669">
      <w:bodyDiv w:val="1"/>
      <w:marLeft w:val="0"/>
      <w:marRight w:val="0"/>
      <w:marTop w:val="0"/>
      <w:marBottom w:val="0"/>
      <w:divBdr>
        <w:top w:val="none" w:sz="0" w:space="0" w:color="auto"/>
        <w:left w:val="none" w:sz="0" w:space="0" w:color="auto"/>
        <w:bottom w:val="none" w:sz="0" w:space="0" w:color="auto"/>
        <w:right w:val="none" w:sz="0" w:space="0" w:color="auto"/>
      </w:divBdr>
    </w:div>
    <w:div w:id="839736861">
      <w:bodyDiv w:val="1"/>
      <w:marLeft w:val="0"/>
      <w:marRight w:val="0"/>
      <w:marTop w:val="0"/>
      <w:marBottom w:val="0"/>
      <w:divBdr>
        <w:top w:val="none" w:sz="0" w:space="0" w:color="auto"/>
        <w:left w:val="none" w:sz="0" w:space="0" w:color="auto"/>
        <w:bottom w:val="none" w:sz="0" w:space="0" w:color="auto"/>
        <w:right w:val="none" w:sz="0" w:space="0" w:color="auto"/>
      </w:divBdr>
    </w:div>
    <w:div w:id="874004141">
      <w:bodyDiv w:val="1"/>
      <w:marLeft w:val="0"/>
      <w:marRight w:val="0"/>
      <w:marTop w:val="0"/>
      <w:marBottom w:val="0"/>
      <w:divBdr>
        <w:top w:val="none" w:sz="0" w:space="0" w:color="auto"/>
        <w:left w:val="none" w:sz="0" w:space="0" w:color="auto"/>
        <w:bottom w:val="none" w:sz="0" w:space="0" w:color="auto"/>
        <w:right w:val="none" w:sz="0" w:space="0" w:color="auto"/>
      </w:divBdr>
    </w:div>
    <w:div w:id="1132555600">
      <w:bodyDiv w:val="1"/>
      <w:marLeft w:val="0"/>
      <w:marRight w:val="0"/>
      <w:marTop w:val="0"/>
      <w:marBottom w:val="0"/>
      <w:divBdr>
        <w:top w:val="none" w:sz="0" w:space="0" w:color="auto"/>
        <w:left w:val="none" w:sz="0" w:space="0" w:color="auto"/>
        <w:bottom w:val="none" w:sz="0" w:space="0" w:color="auto"/>
        <w:right w:val="none" w:sz="0" w:space="0" w:color="auto"/>
      </w:divBdr>
    </w:div>
    <w:div w:id="20001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173D-BD31-485D-BCE8-6BD79BDF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7766</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Lager Daniel</cp:lastModifiedBy>
  <cp:revision>2</cp:revision>
  <cp:lastPrinted>2018-02-01T08:50:00Z</cp:lastPrinted>
  <dcterms:created xsi:type="dcterms:W3CDTF">2020-04-16T10:07:00Z</dcterms:created>
  <dcterms:modified xsi:type="dcterms:W3CDTF">2020-04-16T10:07:00Z</dcterms:modified>
</cp:coreProperties>
</file>